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DF8F" w14:textId="1EA357FC" w:rsidR="004D0269" w:rsidRPr="00F822C2" w:rsidRDefault="00C03712" w:rsidP="00C03712">
      <w:pPr>
        <w:pStyle w:val="Nagwek"/>
        <w:rPr>
          <w:rFonts w:cstheme="minorHAnsi"/>
          <w:bCs/>
          <w:sz w:val="24"/>
          <w:szCs w:val="24"/>
        </w:rPr>
      </w:pPr>
      <w:r w:rsidRPr="00F822C2">
        <w:rPr>
          <w:rFonts w:cstheme="minorHAnsi"/>
          <w:bCs/>
          <w:sz w:val="24"/>
          <w:szCs w:val="24"/>
        </w:rPr>
        <w:t>Załącznik nr 7 do Regulaminu</w:t>
      </w:r>
    </w:p>
    <w:p w14:paraId="3D812633" w14:textId="77777777" w:rsidR="00C03712" w:rsidRPr="00F822C2" w:rsidRDefault="00C03712" w:rsidP="00C03712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Projekt </w:t>
      </w:r>
      <w:bookmarkStart w:id="0" w:name="_Hlk111029164"/>
      <w:r w:rsidRPr="00F822C2">
        <w:rPr>
          <w:rFonts w:eastAsia="Lucida Sans Unicode" w:cstheme="minorHAnsi"/>
          <w:sz w:val="24"/>
          <w:szCs w:val="24"/>
          <w:lang w:eastAsia="ar-SA"/>
        </w:rPr>
        <w:t>„Postaw na wiedzę i kompetencje!”</w:t>
      </w:r>
      <w:bookmarkEnd w:id="0"/>
      <w:r w:rsidRPr="00F822C2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Pr="00F822C2">
        <w:rPr>
          <w:rFonts w:eastAsia="Lucida Sans Unicode" w:cstheme="minorHAnsi"/>
          <w:bCs/>
          <w:sz w:val="24"/>
          <w:szCs w:val="24"/>
          <w:lang w:eastAsia="ar-SA"/>
        </w:rPr>
        <w:t>nr</w:t>
      </w: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 FERS.01.03-IP.09-0045/24</w:t>
      </w:r>
    </w:p>
    <w:p w14:paraId="30678574" w14:textId="7D1F15EF" w:rsidR="00C03712" w:rsidRPr="00F822C2" w:rsidRDefault="003B4AE1" w:rsidP="00C03712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F822C2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F822C2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F822C2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 w:rsidRPr="00F822C2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F822C2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79E6EB9D" w14:textId="77777777" w:rsidR="00C03712" w:rsidRPr="00F822C2" w:rsidRDefault="00C03712" w:rsidP="00C03712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bCs/>
          <w:sz w:val="24"/>
          <w:szCs w:val="24"/>
          <w:lang w:eastAsia="ar-SA"/>
        </w:rPr>
      </w:pPr>
    </w:p>
    <w:p w14:paraId="1455033B" w14:textId="7029791D" w:rsidR="00C03712" w:rsidRPr="00F822C2" w:rsidRDefault="00C03712" w:rsidP="00C03712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F822C2">
        <w:rPr>
          <w:rFonts w:eastAsia="Lucida Sans Unicode" w:cstheme="minorHAnsi"/>
          <w:sz w:val="24"/>
          <w:szCs w:val="24"/>
          <w:lang w:eastAsia="ar-SA"/>
        </w:rPr>
        <w:t>___________________________________________________________________</w:t>
      </w:r>
      <w:r w:rsidR="0044576C">
        <w:rPr>
          <w:rFonts w:eastAsia="Lucida Sans Unicode" w:cstheme="minorHAnsi"/>
          <w:sz w:val="24"/>
          <w:szCs w:val="24"/>
          <w:lang w:eastAsia="ar-SA"/>
        </w:rPr>
        <w:t>________</w:t>
      </w:r>
    </w:p>
    <w:p w14:paraId="1C69B28C" w14:textId="133D0430" w:rsidR="00C03712" w:rsidRPr="0044576C" w:rsidRDefault="00C03712" w:rsidP="0044576C">
      <w:pPr>
        <w:tabs>
          <w:tab w:val="left" w:pos="13608"/>
        </w:tabs>
        <w:spacing w:line="276" w:lineRule="auto"/>
        <w:ind w:right="-284"/>
        <w:rPr>
          <w:rFonts w:eastAsia="Lucida Sans Unicode" w:cstheme="minorHAnsi"/>
          <w:lang w:eastAsia="ar-SA"/>
        </w:rPr>
      </w:pPr>
      <w:r w:rsidRPr="0044576C">
        <w:rPr>
          <w:rFonts w:eastAsia="Lucida Sans Unicode" w:cstheme="minorHAnsi"/>
          <w:lang w:eastAsia="ar-SA"/>
        </w:rPr>
        <w:t xml:space="preserve">(pełna nazwa, NIP i adres Podmiotu BUR / Podmiotu współpracującego zgodnie z </w:t>
      </w:r>
      <w:r w:rsidR="00F822C2" w:rsidRPr="0044576C">
        <w:rPr>
          <w:rFonts w:eastAsia="Lucida Sans Unicode" w:cstheme="minorHAnsi"/>
          <w:lang w:eastAsia="ar-SA"/>
        </w:rPr>
        <w:t>d</w:t>
      </w:r>
      <w:r w:rsidRPr="0044576C">
        <w:rPr>
          <w:rFonts w:eastAsia="Lucida Sans Unicode" w:cstheme="minorHAnsi"/>
          <w:lang w:eastAsia="ar-SA"/>
        </w:rPr>
        <w:t>okumentem rejestrowym)</w:t>
      </w:r>
    </w:p>
    <w:p w14:paraId="269D6A25" w14:textId="0E777D9F" w:rsidR="00CA2F40" w:rsidRPr="00F822C2" w:rsidRDefault="003C74A2" w:rsidP="00C03712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F822C2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F822C2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F822C2" w:rsidRDefault="003C74A2" w:rsidP="00C03712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F822C2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F822C2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F822C2" w:rsidRDefault="003C74A2" w:rsidP="00C03712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F822C2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F822C2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F822C2">
        <w:rPr>
          <w:rFonts w:eastAsia="Lucida Sans Unicode" w:cstheme="minorHAnsi"/>
          <w:sz w:val="24"/>
          <w:szCs w:val="24"/>
          <w:lang w:eastAsia="ar-SA"/>
        </w:rPr>
        <w:t>lub</w:t>
      </w: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F822C2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F822C2" w:rsidRDefault="003C74A2" w:rsidP="00C03712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F822C2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F822C2">
        <w:rPr>
          <w:rFonts w:eastAsia="Lucida Sans Unicode" w:cstheme="minorHAnsi"/>
          <w:sz w:val="24"/>
          <w:szCs w:val="24"/>
          <w:lang w:eastAsia="ar-SA"/>
        </w:rPr>
        <w:t>ń</w:t>
      </w: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F822C2">
        <w:rPr>
          <w:rFonts w:eastAsia="Lucida Sans Unicode" w:cstheme="minorHAnsi"/>
          <w:sz w:val="24"/>
          <w:szCs w:val="24"/>
          <w:lang w:eastAsia="ar-SA"/>
        </w:rPr>
        <w:t>:</w:t>
      </w: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F822C2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F822C2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F822C2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F822C2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F822C2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F822C2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F822C2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F822C2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F822C2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F822C2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F822C2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F822C2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F822C2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F822C2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F822C2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F822C2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F822C2" w:rsidRDefault="003A0C91" w:rsidP="00C03712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F822C2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F822C2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F822C2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F822C2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F822C2" w:rsidRDefault="004277BB" w:rsidP="00C03712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F822C2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F822C2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F822C2">
        <w:rPr>
          <w:rStyle w:val="markedcontent"/>
          <w:rFonts w:cstheme="minorHAnsi"/>
          <w:sz w:val="24"/>
          <w:szCs w:val="24"/>
        </w:rPr>
        <w:t xml:space="preserve">udzielania </w:t>
      </w:r>
      <w:r w:rsidRPr="00F822C2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F822C2">
        <w:rPr>
          <w:rStyle w:val="markedcontent"/>
          <w:rFonts w:cstheme="minorHAnsi"/>
          <w:sz w:val="24"/>
          <w:szCs w:val="24"/>
        </w:rPr>
        <w:t xml:space="preserve"> lub </w:t>
      </w:r>
      <w:r w:rsidRPr="00F822C2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F822C2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F822C2">
        <w:rPr>
          <w:rStyle w:val="markedcontent"/>
          <w:rFonts w:cstheme="minorHAnsi"/>
          <w:sz w:val="24"/>
          <w:szCs w:val="24"/>
        </w:rPr>
        <w:t>e</w:t>
      </w:r>
      <w:r w:rsidRPr="00F822C2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F822C2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F822C2" w:rsidRDefault="008E3E09" w:rsidP="00C03712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F822C2">
        <w:rPr>
          <w:rFonts w:eastAsia="Lucida Sans Unicode" w:cstheme="minorHAnsi"/>
          <w:sz w:val="24"/>
          <w:szCs w:val="24"/>
          <w:lang w:eastAsia="ar-SA"/>
        </w:rPr>
        <w:lastRenderedPageBreak/>
        <w:t xml:space="preserve">wsparcie </w:t>
      </w:r>
      <w:r w:rsidR="00AF7CD4" w:rsidRPr="00F822C2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F822C2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F822C2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F822C2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F822C2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F822C2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F822C2" w:rsidRDefault="006E1B1D" w:rsidP="00C03712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F822C2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F822C2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F822C2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 w:rsidRPr="00F822C2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F822C2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F822C2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F822C2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F822C2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F822C2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F822C2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F822C2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F822C2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F822C2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F822C2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F822C2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F822C2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F822C2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F822C2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F822C2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F822C2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F822C2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F822C2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F822C2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F822C2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F822C2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F822C2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F822C2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F822C2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F822C2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F822C2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F822C2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F822C2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F822C2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F822C2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F822C2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F822C2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F822C2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F822C2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F822C2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F822C2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F822C2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F822C2" w:rsidRDefault="05A74788" w:rsidP="00C03712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4A78DB3F" w:rsidRPr="00F822C2">
        <w:rPr>
          <w:rFonts w:eastAsia="Lucida Sans Unicode" w:cstheme="minorHAnsi"/>
          <w:sz w:val="24"/>
          <w:szCs w:val="24"/>
          <w:lang w:eastAsia="ar-SA"/>
        </w:rPr>
        <w:t xml:space="preserve">zaspokojenie roszczeń, o których mowa w art. 11 </w:t>
      </w:r>
      <w:r w:rsidR="1A9DA630" w:rsidRPr="00F822C2">
        <w:rPr>
          <w:rFonts w:eastAsia="Lucida Sans Unicode" w:cstheme="minorHAnsi"/>
          <w:sz w:val="24"/>
          <w:szCs w:val="24"/>
          <w:lang w:eastAsia="ar-SA"/>
        </w:rPr>
        <w:t xml:space="preserve">rozporządzeń Rady (UE) nr 833/2014, </w:t>
      </w:r>
      <w:r w:rsidR="128B45B6" w:rsidRPr="00F822C2">
        <w:rPr>
          <w:rFonts w:eastAsia="Lucida Sans Unicode" w:cstheme="minorHAnsi"/>
          <w:sz w:val="24"/>
          <w:szCs w:val="24"/>
          <w:lang w:eastAsia="ar-SA"/>
        </w:rPr>
        <w:t xml:space="preserve">w art. 11 rozporządzeń Rady </w:t>
      </w:r>
      <w:r w:rsidR="4A78DB3F" w:rsidRPr="00F822C2">
        <w:rPr>
          <w:rFonts w:eastAsia="Lucida Sans Unicode" w:cstheme="minorHAnsi"/>
          <w:sz w:val="24"/>
          <w:szCs w:val="24"/>
          <w:lang w:eastAsia="ar-SA"/>
        </w:rPr>
        <w:t>(UE) nr 269/2014, (UE) nr 208/2014</w:t>
      </w:r>
      <w:r w:rsidR="7EFF200B" w:rsidRPr="00F822C2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5B08DB8B" w:rsidRPr="00F822C2">
        <w:rPr>
          <w:rFonts w:eastAsia="Lucida Sans Unicode" w:cstheme="minorHAnsi"/>
          <w:sz w:val="24"/>
          <w:szCs w:val="24"/>
          <w:lang w:eastAsia="ar-SA"/>
        </w:rPr>
        <w:t xml:space="preserve">art. 10 rozporządzenia Rady (UE) 2022/263, </w:t>
      </w:r>
      <w:r w:rsidR="56EBE353" w:rsidRPr="00F822C2">
        <w:rPr>
          <w:rFonts w:eastAsia="Lucida Sans Unicode" w:cstheme="minorHAnsi"/>
          <w:sz w:val="24"/>
          <w:szCs w:val="24"/>
          <w:lang w:eastAsia="ar-SA"/>
        </w:rPr>
        <w:t>art. 6 rozporządzenia Rady (UE) nr 692/2014</w:t>
      </w:r>
      <w:r w:rsidR="1A7A3C1F" w:rsidRPr="00F822C2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7EFF200B" w:rsidRPr="00F822C2">
        <w:rPr>
          <w:rFonts w:eastAsia="Lucida Sans Unicode" w:cstheme="minorHAnsi"/>
          <w:sz w:val="24"/>
          <w:szCs w:val="24"/>
          <w:lang w:eastAsia="ar-SA"/>
        </w:rPr>
        <w:t xml:space="preserve">art. 8d </w:t>
      </w:r>
      <w:r w:rsidR="0D85E344" w:rsidRPr="00F822C2">
        <w:rPr>
          <w:rFonts w:eastAsia="Lucida Sans Unicode" w:cstheme="minorHAnsi"/>
          <w:sz w:val="24"/>
          <w:szCs w:val="24"/>
          <w:lang w:eastAsia="ar-SA"/>
        </w:rPr>
        <w:t>rozporządzenia Rady (WE) nr 765/2006</w:t>
      </w:r>
      <w:r w:rsidR="1296AD40" w:rsidRPr="00F822C2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1EC793D0" w:rsidRPr="00F822C2">
        <w:rPr>
          <w:rFonts w:eastAsia="Lucida Sans Unicode" w:cstheme="minorHAnsi"/>
          <w:sz w:val="24"/>
          <w:szCs w:val="24"/>
          <w:lang w:eastAsia="ar-SA"/>
        </w:rPr>
        <w:t>art.</w:t>
      </w:r>
      <w:r w:rsidR="458C9059" w:rsidRPr="00F822C2">
        <w:rPr>
          <w:rFonts w:eastAsia="Lucida Sans Unicode" w:cstheme="minorHAnsi"/>
          <w:sz w:val="24"/>
          <w:szCs w:val="24"/>
          <w:lang w:eastAsia="ar-SA"/>
        </w:rPr>
        <w:t> </w:t>
      </w:r>
      <w:r w:rsidR="1EC793D0" w:rsidRPr="00F822C2">
        <w:rPr>
          <w:rFonts w:eastAsia="Lucida Sans Unicode" w:cstheme="minorHAnsi"/>
          <w:sz w:val="24"/>
          <w:szCs w:val="24"/>
          <w:lang w:eastAsia="ar-SA"/>
        </w:rPr>
        <w:t>7 decyzji Rady 2014/512/</w:t>
      </w:r>
      <w:proofErr w:type="spellStart"/>
      <w:r w:rsidR="1EC793D0" w:rsidRPr="00F822C2">
        <w:rPr>
          <w:rFonts w:eastAsia="Lucida Sans Unicode" w:cstheme="minorHAnsi"/>
          <w:sz w:val="24"/>
          <w:szCs w:val="24"/>
          <w:lang w:eastAsia="ar-SA"/>
        </w:rPr>
        <w:t>WPZiB</w:t>
      </w:r>
      <w:proofErr w:type="spellEnd"/>
      <w:r w:rsidR="37A605F2" w:rsidRPr="00F822C2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1EC793D0" w:rsidRPr="00F822C2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1296AD40" w:rsidRPr="00F822C2">
        <w:rPr>
          <w:rFonts w:eastAsia="Lucida Sans Unicode" w:cstheme="minorHAnsi"/>
          <w:sz w:val="24"/>
          <w:szCs w:val="24"/>
          <w:lang w:eastAsia="ar-SA"/>
        </w:rPr>
        <w:t>art. 2n decyzji Rady 2012/642/</w:t>
      </w:r>
      <w:proofErr w:type="spellStart"/>
      <w:r w:rsidR="1296AD40" w:rsidRPr="00F822C2">
        <w:rPr>
          <w:rFonts w:eastAsia="Lucida Sans Unicode" w:cstheme="minorHAnsi"/>
          <w:sz w:val="24"/>
          <w:szCs w:val="24"/>
          <w:lang w:eastAsia="ar-SA"/>
        </w:rPr>
        <w:t>WPZiB</w:t>
      </w:r>
      <w:proofErr w:type="spellEnd"/>
      <w:r w:rsidR="00B67CB2" w:rsidRPr="00F822C2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DBD38AE" w14:textId="1EE283C9" w:rsidR="0099126C" w:rsidRPr="00F822C2" w:rsidRDefault="5D7015F5" w:rsidP="00C03712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F822C2">
        <w:rPr>
          <w:rFonts w:eastAsia="Times New Roman" w:cstheme="minorHAnsi"/>
          <w:sz w:val="24"/>
          <w:szCs w:val="24"/>
        </w:rPr>
        <w:t>(jeżeli dotyczy</w:t>
      </w:r>
      <w:r w:rsidR="0099126C" w:rsidRPr="00F822C2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00F822C2">
        <w:rPr>
          <w:rFonts w:eastAsia="Times New Roman" w:cstheme="minorHAnsi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00F822C2">
        <w:rPr>
          <w:rFonts w:eastAsia="Lucida Sans Unicode" w:cstheme="minorHAnsi"/>
          <w:sz w:val="24"/>
          <w:szCs w:val="24"/>
          <w:lang w:eastAsia="ar-SA"/>
        </w:rPr>
        <w:t>łączna wartość finansowania publicznego lub pomocy finansowej</w:t>
      </w:r>
      <w:r w:rsidR="0099126C" w:rsidRPr="00F822C2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 na projekt</w:t>
      </w:r>
      <w:r w:rsidRPr="00F822C2">
        <w:rPr>
          <w:rStyle w:val="Odwoanieprzypisudolnego"/>
          <w:rFonts w:eastAsia="Lucida Sans Unicode" w:cstheme="minorHAnsi"/>
          <w:sz w:val="24"/>
          <w:szCs w:val="24"/>
          <w:lang w:eastAsia="ar-SA"/>
        </w:rPr>
        <w:t xml:space="preserve"> </w:t>
      </w:r>
      <w:r w:rsidRPr="00F822C2">
        <w:rPr>
          <w:rFonts w:eastAsia="Lucida Sans Unicode" w:cstheme="minorHAnsi"/>
          <w:sz w:val="24"/>
          <w:szCs w:val="24"/>
          <w:lang w:eastAsia="ar-SA"/>
        </w:rPr>
        <w:t>przekracza 10 000 000 EUR</w:t>
      </w:r>
      <w:r w:rsidR="0099126C" w:rsidRPr="00F822C2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00F822C2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F822C2">
        <w:rPr>
          <w:rFonts w:eastAsia="Lucida Sans Unicode" w:cstheme="minorHAnsi"/>
          <w:sz w:val="24"/>
          <w:szCs w:val="24"/>
          <w:lang w:eastAsia="ar-SA"/>
        </w:rPr>
        <w:lastRenderedPageBreak/>
        <w:t>a wsparcie</w:t>
      </w:r>
      <w:r w:rsidRPr="00F822C2">
        <w:rPr>
          <w:rStyle w:val="Odwoanieprzypisudolnego"/>
          <w:rFonts w:eastAsia="Lucida Sans Unicode" w:cstheme="minorHAnsi"/>
          <w:sz w:val="24"/>
          <w:szCs w:val="24"/>
          <w:lang w:eastAsia="ar-SA"/>
        </w:rPr>
        <w:t xml:space="preserve"> </w:t>
      </w:r>
      <w:r w:rsidRPr="00F822C2">
        <w:rPr>
          <w:rFonts w:eastAsia="Lucida Sans Unicode" w:cstheme="minorHAnsi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F822C2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00F822C2">
        <w:rPr>
          <w:rFonts w:eastAsia="Lucida Sans Unicode" w:cstheme="minorHAnsi"/>
          <w:sz w:val="24"/>
          <w:szCs w:val="24"/>
          <w:lang w:eastAsia="ar-SA"/>
        </w:rPr>
        <w:t>).</w:t>
      </w:r>
    </w:p>
    <w:p w14:paraId="22EAD072" w14:textId="77777777" w:rsidR="00C03712" w:rsidRPr="00F822C2" w:rsidRDefault="00C03712" w:rsidP="00C03712">
      <w:pPr>
        <w:pStyle w:val="Akapitzlist"/>
        <w:autoSpaceDE w:val="0"/>
        <w:autoSpaceDN w:val="0"/>
        <w:rPr>
          <w:rFonts w:cstheme="minorHAnsi"/>
          <w:color w:val="000000"/>
        </w:rPr>
      </w:pPr>
    </w:p>
    <w:p w14:paraId="5D9C6E17" w14:textId="77777777" w:rsidR="00A8788E" w:rsidRPr="00F822C2" w:rsidRDefault="00A8788E" w:rsidP="00C03712">
      <w:pPr>
        <w:pStyle w:val="Akapitzlist"/>
        <w:autoSpaceDE w:val="0"/>
        <w:autoSpaceDN w:val="0"/>
        <w:rPr>
          <w:rFonts w:cstheme="minorHAnsi"/>
          <w:color w:val="000000"/>
        </w:rPr>
      </w:pPr>
    </w:p>
    <w:p w14:paraId="6AE5C31C" w14:textId="77777777" w:rsidR="00A8788E" w:rsidRPr="00F822C2" w:rsidRDefault="00A8788E" w:rsidP="00C03712">
      <w:pPr>
        <w:pStyle w:val="Akapitzlist"/>
        <w:autoSpaceDE w:val="0"/>
        <w:autoSpaceDN w:val="0"/>
        <w:rPr>
          <w:rFonts w:cstheme="minorHAnsi"/>
          <w:color w:val="000000"/>
        </w:rPr>
      </w:pPr>
    </w:p>
    <w:p w14:paraId="254B67CD" w14:textId="65F4D2BF" w:rsidR="00C03712" w:rsidRPr="00F822C2" w:rsidRDefault="00C03712" w:rsidP="00A8788E">
      <w:pPr>
        <w:pStyle w:val="Akapitzlist"/>
        <w:autoSpaceDE w:val="0"/>
        <w:autoSpaceDN w:val="0"/>
        <w:ind w:left="0"/>
        <w:rPr>
          <w:rFonts w:cstheme="minorHAnsi"/>
          <w:color w:val="000000"/>
        </w:rPr>
      </w:pPr>
      <w:r w:rsidRPr="00F822C2">
        <w:rPr>
          <w:rFonts w:cstheme="minorHAnsi"/>
          <w:color w:val="000000"/>
        </w:rPr>
        <w:t>...................................................</w:t>
      </w:r>
      <w:r w:rsidRPr="00F822C2">
        <w:rPr>
          <w:rFonts w:cstheme="minorHAnsi"/>
          <w:color w:val="000000"/>
        </w:rPr>
        <w:tab/>
        <w:t>..............................................................................</w:t>
      </w:r>
    </w:p>
    <w:p w14:paraId="58D9FAC3" w14:textId="4478B642" w:rsidR="00C03712" w:rsidRPr="00F822C2" w:rsidRDefault="00C03712" w:rsidP="00DB1EFF">
      <w:pPr>
        <w:pStyle w:val="Akapitzlist"/>
        <w:autoSpaceDE w:val="0"/>
        <w:autoSpaceDN w:val="0"/>
        <w:spacing w:line="240" w:lineRule="auto"/>
        <w:ind w:left="3544" w:hanging="3544"/>
        <w:rPr>
          <w:rFonts w:cstheme="minorHAnsi"/>
          <w:color w:val="000000"/>
        </w:rPr>
      </w:pPr>
      <w:r w:rsidRPr="00F822C2">
        <w:rPr>
          <w:rFonts w:cstheme="minorHAnsi"/>
          <w:color w:val="000000"/>
        </w:rPr>
        <w:t>(miejscowość</w:t>
      </w:r>
      <w:r w:rsidR="00DB1EFF" w:rsidRPr="00F822C2">
        <w:rPr>
          <w:rFonts w:cstheme="minorHAnsi"/>
          <w:color w:val="000000"/>
        </w:rPr>
        <w:t xml:space="preserve"> i data</w:t>
      </w:r>
      <w:r w:rsidRPr="00F822C2">
        <w:rPr>
          <w:rFonts w:cstheme="minorHAnsi"/>
          <w:color w:val="000000"/>
        </w:rPr>
        <w:t>)</w:t>
      </w:r>
      <w:r w:rsidR="00DB1EFF" w:rsidRPr="00F822C2">
        <w:rPr>
          <w:rFonts w:cstheme="minorHAnsi"/>
          <w:color w:val="000000"/>
        </w:rPr>
        <w:tab/>
      </w:r>
      <w:r w:rsidRPr="00F822C2">
        <w:rPr>
          <w:rFonts w:cstheme="minorHAnsi"/>
          <w:color w:val="000000"/>
        </w:rPr>
        <w:t>(czytelny podpis/y osoby/osób lub podpis i pieczęć osób upoważnionych do reprezentowania Podmiotu zgodnie z dokumentem rejestrowym lub na podstawie udzielonego pełnomocnictwa)</w:t>
      </w:r>
      <w:r w:rsidRPr="00F822C2">
        <w:rPr>
          <w:rStyle w:val="Odwoanieprzypisudolnego"/>
          <w:rFonts w:cstheme="minorHAnsi"/>
          <w:color w:val="000000"/>
        </w:rPr>
        <w:footnoteReference w:id="17"/>
      </w:r>
    </w:p>
    <w:p w14:paraId="1DF71835" w14:textId="77777777" w:rsidR="009A3C0C" w:rsidRPr="00F822C2" w:rsidRDefault="009A3C0C" w:rsidP="00C03712">
      <w:pPr>
        <w:pStyle w:val="Default"/>
        <w:spacing w:before="480" w:line="276" w:lineRule="auto"/>
        <w:rPr>
          <w:rFonts w:asciiTheme="minorHAnsi" w:hAnsiTheme="minorHAnsi" w:cstheme="minorHAnsi"/>
          <w:sz w:val="23"/>
          <w:szCs w:val="23"/>
        </w:rPr>
      </w:pPr>
    </w:p>
    <w:sectPr w:rsidR="009A3C0C" w:rsidRPr="00F822C2" w:rsidSect="0044576C">
      <w:headerReference w:type="default" r:id="rId11"/>
      <w:footerReference w:type="even" r:id="rId12"/>
      <w:footerReference w:type="first" r:id="rId13"/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42E7" w14:textId="77777777" w:rsidR="00844D61" w:rsidRDefault="00844D61" w:rsidP="00326098">
      <w:pPr>
        <w:spacing w:after="0" w:line="240" w:lineRule="auto"/>
      </w:pPr>
      <w:r>
        <w:separator/>
      </w:r>
    </w:p>
  </w:endnote>
  <w:endnote w:type="continuationSeparator" w:id="0">
    <w:p w14:paraId="0537F9A3" w14:textId="77777777" w:rsidR="00844D61" w:rsidRDefault="00844D61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944F" w14:textId="77777777" w:rsidR="00844D61" w:rsidRDefault="00844D61" w:rsidP="00326098">
      <w:pPr>
        <w:spacing w:after="0" w:line="240" w:lineRule="auto"/>
      </w:pPr>
      <w:r>
        <w:separator/>
      </w:r>
    </w:p>
  </w:footnote>
  <w:footnote w:type="continuationSeparator" w:id="0">
    <w:p w14:paraId="2AA8436B" w14:textId="77777777" w:rsidR="00844D61" w:rsidRDefault="00844D61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F822C2" w:rsidRDefault="00F71B31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F822C2">
        <w:rPr>
          <w:rStyle w:val="Odwoanieprzypisudolnego"/>
          <w:rFonts w:cstheme="minorHAnsi"/>
          <w:color w:val="000000" w:themeColor="text1"/>
        </w:rPr>
        <w:footnoteRef/>
      </w:r>
      <w:r w:rsidRPr="00F822C2">
        <w:rPr>
          <w:rFonts w:cstheme="minorHAnsi"/>
          <w:color w:val="000000" w:themeColor="text1"/>
        </w:rPr>
        <w:t xml:space="preserve"> </w:t>
      </w:r>
      <w:hyperlink r:id="rId1" w:history="1">
        <w:r w:rsidR="003B4AE1" w:rsidRPr="00F822C2">
          <w:rPr>
            <w:rStyle w:val="Hipercze"/>
            <w:rFonts w:cstheme="minorHAnsi"/>
            <w:color w:val="000000" w:themeColor="text1"/>
            <w:u w:val="none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="003B4AE1" w:rsidRPr="00F822C2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="003B4AE1" w:rsidRPr="00F822C2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2">
    <w:p w14:paraId="13A55B24" w14:textId="2D69A795" w:rsidR="00F71B31" w:rsidRPr="00F822C2" w:rsidRDefault="00F71B31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F822C2">
        <w:rPr>
          <w:rStyle w:val="Odwoanieprzypisudolnego"/>
          <w:rFonts w:cstheme="minorHAnsi"/>
          <w:color w:val="000000" w:themeColor="text1"/>
        </w:rPr>
        <w:footnoteRef/>
      </w:r>
      <w:r w:rsidRPr="00F822C2">
        <w:rPr>
          <w:rFonts w:cstheme="minorHAnsi"/>
          <w:color w:val="000000" w:themeColor="text1"/>
        </w:rPr>
        <w:t xml:space="preserve"> </w:t>
      </w:r>
      <w:hyperlink r:id="rId2" w:history="1">
        <w:r w:rsidRPr="00F822C2">
          <w:rPr>
            <w:rStyle w:val="Hipercze"/>
            <w:rFonts w:cstheme="minorHAnsi"/>
            <w:color w:val="000000" w:themeColor="text1"/>
            <w:u w:val="none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F822C2">
          <w:rPr>
            <w:rStyle w:val="Hipercze"/>
            <w:rFonts w:cstheme="minorHAnsi"/>
            <w:color w:val="000000" w:themeColor="text1"/>
            <w:u w:val="none"/>
          </w:rPr>
          <w:t xml:space="preserve"> r.</w:t>
        </w:r>
        <w:r w:rsidRPr="00F822C2">
          <w:rPr>
            <w:rStyle w:val="Hipercze"/>
            <w:rFonts w:cstheme="minorHAnsi"/>
            <w:color w:val="000000" w:themeColor="text1"/>
            <w:u w:val="none"/>
          </w:rPr>
          <w:t xml:space="preserve">, s. 6, z </w:t>
        </w:r>
        <w:proofErr w:type="spellStart"/>
        <w:r w:rsidRPr="00F822C2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F822C2">
          <w:rPr>
            <w:rStyle w:val="Hipercze"/>
            <w:rFonts w:cstheme="minorHAnsi"/>
            <w:color w:val="000000" w:themeColor="text1"/>
            <w:u w:val="none"/>
          </w:rPr>
          <w:t>. zm.)</w:t>
        </w:r>
        <w:r w:rsidR="003B4AE1" w:rsidRPr="00F822C2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3">
    <w:p w14:paraId="7BFB1625" w14:textId="7CE30CA9" w:rsidR="00FF5A20" w:rsidRPr="00F822C2" w:rsidRDefault="00FF5A20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F822C2">
        <w:rPr>
          <w:rStyle w:val="Odwoanieprzypisudolnego"/>
          <w:rFonts w:cstheme="minorHAnsi"/>
          <w:color w:val="000000" w:themeColor="text1"/>
        </w:rPr>
        <w:footnoteRef/>
      </w:r>
      <w:r w:rsidRPr="00F822C2">
        <w:rPr>
          <w:rFonts w:cstheme="minorHAnsi"/>
          <w:color w:val="000000" w:themeColor="text1"/>
        </w:rPr>
        <w:t xml:space="preserve"> </w:t>
      </w:r>
      <w:hyperlink r:id="rId3" w:history="1">
        <w:r w:rsidRPr="00F822C2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208/2014 z dnia 5 marca 2014 r. </w:t>
        </w:r>
        <w:r w:rsidRPr="00F822C2">
          <w:rPr>
            <w:rStyle w:val="Hipercze"/>
            <w:rFonts w:cstheme="minorHAnsi"/>
            <w:color w:val="000000" w:themeColor="text1"/>
            <w:u w:val="none"/>
          </w:rPr>
          <w:t>w sprawie środków ograniczających skierowanych przeciwko niektórym osobom, podmiotom i organom w związku z sytuacją na Ukrainie (Dz. Urz. UE L 66 z 6 marca 2014 r., s.</w:t>
        </w:r>
        <w:r w:rsidR="00BD691E" w:rsidRPr="00F822C2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F822C2">
          <w:rPr>
            <w:rStyle w:val="Hipercze"/>
            <w:rFonts w:cstheme="minorHAnsi"/>
            <w:color w:val="000000" w:themeColor="text1"/>
            <w:u w:val="none"/>
          </w:rPr>
          <w:t>1, z</w:t>
        </w:r>
        <w:r w:rsidR="007B0180" w:rsidRPr="00F822C2">
          <w:rPr>
            <w:rStyle w:val="Hipercze"/>
            <w:rFonts w:cstheme="minorHAnsi"/>
            <w:color w:val="000000" w:themeColor="text1"/>
            <w:u w:val="none"/>
          </w:rPr>
          <w:t> </w:t>
        </w:r>
        <w:proofErr w:type="spellStart"/>
        <w:r w:rsidRPr="00F822C2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F822C2">
          <w:rPr>
            <w:rStyle w:val="Hipercze"/>
            <w:rFonts w:cstheme="minorHAnsi"/>
            <w:color w:val="000000" w:themeColor="text1"/>
            <w:u w:val="none"/>
          </w:rPr>
          <w:t>.</w:t>
        </w:r>
        <w:r w:rsidR="007B0180" w:rsidRPr="00F822C2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F822C2">
          <w:rPr>
            <w:rStyle w:val="Hipercze"/>
            <w:rFonts w:cstheme="minorHAnsi"/>
            <w:color w:val="000000" w:themeColor="text1"/>
            <w:u w:val="none"/>
          </w:rPr>
          <w:t>zm.)</w:t>
        </w:r>
        <w:r w:rsidR="003B4AE1" w:rsidRPr="00F822C2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4">
    <w:p w14:paraId="4AC8BEA1" w14:textId="494EC017" w:rsidR="00983C95" w:rsidRPr="00F822C2" w:rsidRDefault="00983C95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F822C2">
        <w:rPr>
          <w:rStyle w:val="Odwoanieprzypisudolnego"/>
          <w:rFonts w:cstheme="minorHAnsi"/>
          <w:color w:val="000000" w:themeColor="text1"/>
        </w:rPr>
        <w:footnoteRef/>
      </w:r>
      <w:r w:rsidRPr="00F822C2">
        <w:rPr>
          <w:rFonts w:cstheme="minorHAnsi"/>
          <w:color w:val="000000" w:themeColor="text1"/>
        </w:rPr>
        <w:t xml:space="preserve"> </w:t>
      </w:r>
      <w:hyperlink r:id="rId4" w:history="1">
        <w:r w:rsidRPr="00F822C2">
          <w:rPr>
            <w:rStyle w:val="Hipercze"/>
            <w:rFonts w:cstheme="minorHAnsi"/>
            <w:bCs/>
            <w:color w:val="000000" w:themeColor="text1"/>
            <w:u w:val="none"/>
          </w:rPr>
          <w:t>Decyzja Rady 2014/145/</w:t>
        </w:r>
        <w:proofErr w:type="spellStart"/>
        <w:r w:rsidRPr="00F822C2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F822C2">
          <w:rPr>
            <w:rStyle w:val="Hipercze"/>
            <w:rFonts w:cstheme="minorHAnsi"/>
            <w:bCs/>
            <w:color w:val="000000" w:themeColor="text1"/>
            <w:u w:val="none"/>
          </w:rPr>
          <w:t xml:space="preserve"> z dnia 17 marca 2014 r. </w:t>
        </w:r>
        <w:r w:rsidR="004277BB" w:rsidRPr="00F822C2">
          <w:rPr>
            <w:rStyle w:val="Hipercze"/>
            <w:rFonts w:cstheme="minorHAnsi"/>
            <w:color w:val="000000" w:themeColor="text1"/>
            <w:u w:val="none"/>
          </w:rPr>
          <w:t>w sprawie środków ograniczających w związku z działaniami podważającymi integralność terytorialną, suwerenność i niezależność Ukrainy lub im zagrażającymi</w:t>
        </w:r>
        <w:r w:rsidRPr="00F822C2">
          <w:rPr>
            <w:rStyle w:val="Hipercze"/>
            <w:rFonts w:cstheme="minorHAnsi"/>
            <w:color w:val="000000" w:themeColor="text1"/>
            <w:u w:val="none"/>
          </w:rPr>
          <w:t xml:space="preserve"> (Dz. Urz. UE L 78 z 17 marca 2014 r., s. 16, z </w:t>
        </w:r>
        <w:proofErr w:type="spellStart"/>
        <w:r w:rsidRPr="00F822C2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F822C2">
          <w:rPr>
            <w:rStyle w:val="Hipercze"/>
            <w:rFonts w:cstheme="minorHAnsi"/>
            <w:color w:val="000000" w:themeColor="text1"/>
            <w:u w:val="none"/>
          </w:rPr>
          <w:t>. zm.)</w:t>
        </w:r>
        <w:r w:rsidR="00D7773F" w:rsidRPr="00F822C2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5">
    <w:p w14:paraId="075F7171" w14:textId="16C17217" w:rsidR="003A0C91" w:rsidRPr="00F822C2" w:rsidRDefault="003A0C91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F822C2">
        <w:rPr>
          <w:rStyle w:val="Odwoanieprzypisudolnego"/>
          <w:rFonts w:cstheme="minorHAnsi"/>
          <w:color w:val="000000" w:themeColor="text1"/>
        </w:rPr>
        <w:footnoteRef/>
      </w:r>
      <w:r w:rsidRPr="00F822C2">
        <w:rPr>
          <w:rFonts w:cstheme="minorHAnsi"/>
          <w:color w:val="000000" w:themeColor="text1"/>
        </w:rPr>
        <w:t xml:space="preserve"> </w:t>
      </w:r>
      <w:hyperlink r:id="rId5" w:history="1">
        <w:r w:rsidRPr="00F822C2">
          <w:rPr>
            <w:rStyle w:val="Hipercze"/>
            <w:rFonts w:eastAsia="Lucida Sans Unicode" w:cstheme="minorHAnsi"/>
            <w:color w:val="000000" w:themeColor="text1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F822C2">
          <w:rPr>
            <w:rStyle w:val="Hipercze"/>
            <w:rFonts w:eastAsia="Lucida Sans Unicode" w:cstheme="minorHAnsi"/>
            <w:color w:val="000000" w:themeColor="text1"/>
            <w:u w:val="none"/>
            <w:lang w:eastAsia="ar-SA"/>
          </w:rPr>
          <w:t>.</w:t>
        </w:r>
      </w:hyperlink>
    </w:p>
  </w:footnote>
  <w:footnote w:id="6">
    <w:p w14:paraId="6E19FF7A" w14:textId="330DF5A0" w:rsidR="004277BB" w:rsidRPr="00F822C2" w:rsidRDefault="004277BB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F822C2">
        <w:rPr>
          <w:rStyle w:val="Odwoanieprzypisudolnego"/>
          <w:rFonts w:cstheme="minorHAnsi"/>
          <w:color w:val="000000" w:themeColor="text1"/>
        </w:rPr>
        <w:footnoteRef/>
      </w:r>
      <w:r w:rsidRPr="00F822C2">
        <w:rPr>
          <w:rFonts w:cstheme="minorHAnsi"/>
          <w:color w:val="000000" w:themeColor="text1"/>
        </w:rPr>
        <w:t xml:space="preserve"> </w:t>
      </w:r>
      <w:hyperlink r:id="rId6" w:history="1">
        <w:r w:rsidRPr="00F822C2">
          <w:rPr>
            <w:rStyle w:val="Hipercze"/>
            <w:rFonts w:cstheme="minorHAnsi"/>
            <w:color w:val="000000" w:themeColor="text1"/>
            <w:u w:val="none"/>
          </w:rPr>
          <w:t>Rozporządzenie Rady (UE) nr 833/2014 z dnia 31 lipca 2014 r. dotyczące środków ograniczających w związku z</w:t>
        </w:r>
        <w:r w:rsidR="00BD691E" w:rsidRPr="00F822C2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F822C2">
          <w:rPr>
            <w:rStyle w:val="Hipercze"/>
            <w:rFonts w:cstheme="minorHAnsi"/>
            <w:color w:val="000000" w:themeColor="text1"/>
            <w:u w:val="none"/>
          </w:rPr>
          <w:t xml:space="preserve">działaniami Rosji destabilizującymi sytuację na Ukrainie (Dz. Urz. UE L 229 z 31 lipca 2014 r., s. 1, z </w:t>
        </w:r>
        <w:proofErr w:type="spellStart"/>
        <w:r w:rsidRPr="00F822C2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F822C2">
          <w:rPr>
            <w:rStyle w:val="Hipercze"/>
            <w:rFonts w:cstheme="minorHAnsi"/>
            <w:color w:val="000000" w:themeColor="text1"/>
            <w:u w:val="none"/>
          </w:rPr>
          <w:t>. zm.)</w:t>
        </w:r>
        <w:r w:rsidR="00D7773F" w:rsidRPr="00F822C2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  <w:r w:rsidR="00D7773F" w:rsidRPr="00F822C2">
        <w:rPr>
          <w:rFonts w:cstheme="minorHAnsi"/>
          <w:color w:val="000000" w:themeColor="text1"/>
        </w:rPr>
        <w:t xml:space="preserve"> </w:t>
      </w:r>
    </w:p>
  </w:footnote>
  <w:footnote w:id="7">
    <w:p w14:paraId="4743795B" w14:textId="4DBBBEF6" w:rsidR="00A631B3" w:rsidRPr="003F6FB7" w:rsidRDefault="00A631B3" w:rsidP="00C03712">
      <w:pPr>
        <w:pStyle w:val="Tekstprzypisudolnego"/>
        <w:spacing w:line="276" w:lineRule="auto"/>
        <w:rPr>
          <w:rFonts w:ascii="Calibri" w:hAnsi="Calibri" w:cs="Calibri"/>
          <w:color w:val="000000" w:themeColor="text1"/>
        </w:rPr>
      </w:pPr>
      <w:r w:rsidRPr="003F6FB7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3F6FB7">
        <w:rPr>
          <w:rFonts w:ascii="Calibri" w:hAnsi="Calibri" w:cs="Calibri"/>
          <w:color w:val="000000" w:themeColor="text1"/>
        </w:rPr>
        <w:t xml:space="preserve"> </w:t>
      </w:r>
      <w:hyperlink r:id="rId7" w:history="1">
        <w:r w:rsidRPr="003F6FB7">
          <w:rPr>
            <w:rStyle w:val="Hipercze"/>
            <w:rFonts w:ascii="Calibri" w:hAnsi="Calibri" w:cs="Calibri"/>
            <w:bCs/>
            <w:color w:val="000000" w:themeColor="text1"/>
            <w:u w:val="none"/>
          </w:rPr>
          <w:t xml:space="preserve">Rozporządzenie Rady (UE) 2022/263 z dnia 23 lutego 2022 r. </w:t>
        </w:r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ługańskiego</w:t>
        </w:r>
        <w:proofErr w:type="spellEnd"/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 xml:space="preserve"> oraz nakazanie rozmieszczenia rosyjskich sił zbrojnych na tych obszarach (Dz. Urz. UE L 42I z 23 lutego 2022 r., s. 77, z </w:t>
        </w:r>
        <w:proofErr w:type="spellStart"/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późn</w:t>
        </w:r>
        <w:proofErr w:type="spellEnd"/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. zm.)</w:t>
        </w:r>
        <w:r w:rsidR="00D7773F"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.</w:t>
        </w:r>
      </w:hyperlink>
    </w:p>
  </w:footnote>
  <w:footnote w:id="8">
    <w:p w14:paraId="172A6EDA" w14:textId="2E3CE2EE" w:rsidR="005D78B7" w:rsidRPr="003F6FB7" w:rsidRDefault="005D78B7" w:rsidP="00C03712">
      <w:pPr>
        <w:pStyle w:val="Tekstprzypisudolnego"/>
        <w:spacing w:line="276" w:lineRule="auto"/>
        <w:rPr>
          <w:rFonts w:ascii="Calibri" w:hAnsi="Calibri" w:cs="Calibri"/>
          <w:color w:val="000000" w:themeColor="text1"/>
        </w:rPr>
      </w:pPr>
      <w:r w:rsidRPr="003F6FB7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3F6FB7">
        <w:rPr>
          <w:rFonts w:ascii="Calibri" w:hAnsi="Calibri" w:cs="Calibri"/>
          <w:color w:val="000000" w:themeColor="text1"/>
        </w:rPr>
        <w:t xml:space="preserve"> </w:t>
      </w:r>
      <w:hyperlink r:id="rId8" w:history="1">
        <w:r w:rsidRPr="003F6FB7">
          <w:rPr>
            <w:rStyle w:val="Hipercze"/>
            <w:rFonts w:ascii="Calibri" w:hAnsi="Calibri" w:cs="Calibri"/>
            <w:bCs/>
            <w:color w:val="000000" w:themeColor="text1"/>
            <w:u w:val="none"/>
          </w:rPr>
          <w:t xml:space="preserve">Rozporządzenie Rady (UE) nr 692/2014 z dnia 23 czerwca 2014 r. </w:t>
        </w:r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późn</w:t>
        </w:r>
        <w:proofErr w:type="spellEnd"/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. zm.)</w:t>
        </w:r>
        <w:r w:rsidR="00D7773F"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.</w:t>
        </w:r>
      </w:hyperlink>
    </w:p>
  </w:footnote>
  <w:footnote w:id="9">
    <w:p w14:paraId="5FA84F90" w14:textId="43AC21C2" w:rsidR="00CC3BA9" w:rsidRPr="003F6FB7" w:rsidRDefault="00CC3BA9" w:rsidP="00C03712">
      <w:pPr>
        <w:pStyle w:val="Tekstprzypisudolnego"/>
        <w:spacing w:line="276" w:lineRule="auto"/>
        <w:rPr>
          <w:rFonts w:ascii="Calibri" w:hAnsi="Calibri" w:cs="Calibri"/>
          <w:color w:val="000000" w:themeColor="text1"/>
        </w:rPr>
      </w:pPr>
      <w:r w:rsidRPr="003F6FB7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3F6FB7">
        <w:rPr>
          <w:rFonts w:ascii="Calibri" w:hAnsi="Calibri" w:cs="Calibri"/>
          <w:color w:val="000000" w:themeColor="text1"/>
        </w:rPr>
        <w:t xml:space="preserve"> </w:t>
      </w:r>
      <w:r w:rsidR="002D490C" w:rsidRPr="003F6FB7">
        <w:rPr>
          <w:rFonts w:ascii="Calibri" w:hAnsi="Calibri" w:cs="Calibri"/>
          <w:bCs/>
          <w:color w:val="000000" w:themeColor="text1"/>
        </w:rPr>
        <w:t>Jak w przypisie 1</w:t>
      </w:r>
      <w:r w:rsidR="002D490C" w:rsidRPr="003F6FB7">
        <w:rPr>
          <w:rFonts w:ascii="Calibri" w:hAnsi="Calibri" w:cs="Calibri"/>
          <w:color w:val="000000" w:themeColor="text1"/>
        </w:rPr>
        <w:t>.</w:t>
      </w:r>
    </w:p>
  </w:footnote>
  <w:footnote w:id="10">
    <w:p w14:paraId="77EC8578" w14:textId="72767FC5" w:rsidR="006465DF" w:rsidRPr="003F6FB7" w:rsidRDefault="006465DF" w:rsidP="00C03712">
      <w:pPr>
        <w:pStyle w:val="Tekstprzypisudolnego"/>
        <w:spacing w:line="276" w:lineRule="auto"/>
        <w:rPr>
          <w:rFonts w:ascii="Calibri" w:hAnsi="Calibri" w:cs="Calibri"/>
          <w:color w:val="000000" w:themeColor="text1"/>
        </w:rPr>
      </w:pPr>
      <w:r w:rsidRPr="003F6FB7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3F6FB7">
        <w:rPr>
          <w:rFonts w:ascii="Calibri" w:hAnsi="Calibri" w:cs="Calibri"/>
          <w:color w:val="000000" w:themeColor="text1"/>
        </w:rPr>
        <w:t xml:space="preserve"> </w:t>
      </w:r>
      <w:hyperlink r:id="rId9" w:history="1">
        <w:r w:rsidRPr="003F6FB7">
          <w:rPr>
            <w:rStyle w:val="Hipercze"/>
            <w:rFonts w:ascii="Calibri" w:hAnsi="Calibri" w:cs="Calibri"/>
            <w:bCs/>
            <w:color w:val="000000" w:themeColor="text1"/>
            <w:u w:val="none"/>
          </w:rPr>
          <w:t>Decyzja Rady (</w:t>
        </w:r>
        <w:proofErr w:type="spellStart"/>
        <w:r w:rsidRPr="003F6FB7">
          <w:rPr>
            <w:rStyle w:val="Hipercze"/>
            <w:rFonts w:ascii="Calibri" w:hAnsi="Calibri" w:cs="Calibri"/>
            <w:bCs/>
            <w:color w:val="000000" w:themeColor="text1"/>
            <w:u w:val="none"/>
          </w:rPr>
          <w:t>WPZiB</w:t>
        </w:r>
        <w:proofErr w:type="spellEnd"/>
        <w:r w:rsidRPr="003F6FB7">
          <w:rPr>
            <w:rStyle w:val="Hipercze"/>
            <w:rFonts w:ascii="Calibri" w:hAnsi="Calibri" w:cs="Calibri"/>
            <w:bCs/>
            <w:color w:val="000000" w:themeColor="text1"/>
            <w:u w:val="none"/>
          </w:rPr>
          <w:t xml:space="preserve">) 2022/266 z dnia 23 lutego 2022 r. </w:t>
        </w:r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ługańskiego</w:t>
        </w:r>
        <w:proofErr w:type="spellEnd"/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 xml:space="preserve"> oraz nakazanie rozmieszczenia rosyjskich sił zbrojnych na tych obszarach (Dz. Urz. UE L 42 z 23 lutego 2022 r., s. 109, z </w:t>
        </w:r>
        <w:proofErr w:type="spellStart"/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późn</w:t>
        </w:r>
        <w:proofErr w:type="spellEnd"/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. zm.)</w:t>
        </w:r>
        <w:r w:rsidR="00D7773F"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.</w:t>
        </w:r>
      </w:hyperlink>
      <w:r w:rsidR="00D7773F" w:rsidRPr="003F6FB7">
        <w:rPr>
          <w:rFonts w:ascii="Calibri" w:hAnsi="Calibri" w:cs="Calibri"/>
          <w:color w:val="000000" w:themeColor="text1"/>
        </w:rPr>
        <w:t xml:space="preserve"> </w:t>
      </w:r>
    </w:p>
  </w:footnote>
  <w:footnote w:id="11">
    <w:p w14:paraId="66337477" w14:textId="7D2A6C7B" w:rsidR="005411C0" w:rsidRPr="003F6FB7" w:rsidRDefault="005411C0" w:rsidP="00C03712">
      <w:pPr>
        <w:pStyle w:val="Tekstprzypisudolnego"/>
        <w:spacing w:line="276" w:lineRule="auto"/>
        <w:rPr>
          <w:rFonts w:ascii="Calibri" w:hAnsi="Calibri" w:cs="Calibri"/>
          <w:color w:val="000000" w:themeColor="text1"/>
        </w:rPr>
      </w:pPr>
      <w:r w:rsidRPr="003F6FB7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3F6FB7">
        <w:rPr>
          <w:rFonts w:ascii="Calibri" w:hAnsi="Calibri" w:cs="Calibri"/>
          <w:color w:val="000000" w:themeColor="text1"/>
        </w:rPr>
        <w:t xml:space="preserve"> </w:t>
      </w:r>
      <w:hyperlink r:id="rId10" w:history="1">
        <w:r w:rsidRPr="003F6FB7">
          <w:rPr>
            <w:rStyle w:val="Hipercze"/>
            <w:rFonts w:ascii="Calibri" w:hAnsi="Calibri" w:cs="Calibri"/>
            <w:bCs/>
            <w:color w:val="000000" w:themeColor="text1"/>
            <w:u w:val="none"/>
          </w:rPr>
          <w:t>Decyzja Rady 2014/512/</w:t>
        </w:r>
        <w:proofErr w:type="spellStart"/>
        <w:r w:rsidRPr="003F6FB7">
          <w:rPr>
            <w:rStyle w:val="Hipercze"/>
            <w:rFonts w:ascii="Calibri" w:hAnsi="Calibri" w:cs="Calibri"/>
            <w:bCs/>
            <w:color w:val="000000" w:themeColor="text1"/>
            <w:u w:val="none"/>
          </w:rPr>
          <w:t>WPZiB</w:t>
        </w:r>
        <w:proofErr w:type="spellEnd"/>
        <w:r w:rsidRPr="003F6FB7">
          <w:rPr>
            <w:rStyle w:val="Hipercze"/>
            <w:rFonts w:ascii="Calibri" w:hAnsi="Calibri" w:cs="Calibri"/>
            <w:bCs/>
            <w:color w:val="000000" w:themeColor="text1"/>
            <w:u w:val="none"/>
          </w:rPr>
          <w:t xml:space="preserve"> z dnia 31 lipca 2014 r. </w:t>
        </w:r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dotycząca środków ograniczających w związku z działaniami Rosji destabilizującymi sytuację na Ukrainie (Dz. U</w:t>
        </w:r>
        <w:r w:rsidR="00CC3BA9"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rz</w:t>
        </w:r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.</w:t>
        </w:r>
        <w:r w:rsidR="00CC3BA9"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 xml:space="preserve"> UE</w:t>
        </w:r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 xml:space="preserve"> L 229 z 31 lipca 2014 r., s. 13, z </w:t>
        </w:r>
        <w:proofErr w:type="spellStart"/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późn</w:t>
        </w:r>
        <w:proofErr w:type="spellEnd"/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. zm.)</w:t>
        </w:r>
        <w:r w:rsidR="00D7773F"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.</w:t>
        </w:r>
      </w:hyperlink>
    </w:p>
  </w:footnote>
  <w:footnote w:id="12">
    <w:p w14:paraId="3E93C6C5" w14:textId="47F0B52B" w:rsidR="008E4E74" w:rsidRPr="003F6FB7" w:rsidRDefault="008E4E74" w:rsidP="00C03712">
      <w:pPr>
        <w:pStyle w:val="Tekstprzypisudolnego"/>
        <w:spacing w:line="276" w:lineRule="auto"/>
        <w:rPr>
          <w:rFonts w:ascii="Calibri" w:hAnsi="Calibri" w:cs="Calibri"/>
          <w:color w:val="000000" w:themeColor="text1"/>
        </w:rPr>
      </w:pPr>
      <w:r w:rsidRPr="003F6FB7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3F6FB7">
        <w:rPr>
          <w:rFonts w:ascii="Calibri" w:hAnsi="Calibri" w:cs="Calibri"/>
          <w:color w:val="000000" w:themeColor="text1"/>
        </w:rPr>
        <w:t xml:space="preserve"> </w:t>
      </w:r>
      <w:hyperlink r:id="rId11" w:history="1">
        <w:r w:rsidR="00CC3BA9" w:rsidRPr="003F6FB7">
          <w:rPr>
            <w:rStyle w:val="Hipercze"/>
            <w:rFonts w:ascii="Calibri" w:hAnsi="Calibri" w:cs="Calibri"/>
            <w:bCs/>
            <w:color w:val="000000" w:themeColor="text1"/>
            <w:u w:val="none"/>
          </w:rPr>
          <w:t xml:space="preserve">Decyzja Rady </w:t>
        </w:r>
        <w:r w:rsidRPr="003F6FB7">
          <w:rPr>
            <w:rStyle w:val="Hipercze"/>
            <w:rFonts w:ascii="Calibri" w:hAnsi="Calibri" w:cs="Calibri"/>
            <w:bCs/>
            <w:color w:val="000000" w:themeColor="text1"/>
            <w:u w:val="none"/>
          </w:rPr>
          <w:t>2012/642/</w:t>
        </w:r>
        <w:proofErr w:type="spellStart"/>
        <w:r w:rsidRPr="003F6FB7">
          <w:rPr>
            <w:rStyle w:val="Hipercze"/>
            <w:rFonts w:ascii="Calibri" w:hAnsi="Calibri" w:cs="Calibri"/>
            <w:bCs/>
            <w:color w:val="000000" w:themeColor="text1"/>
            <w:u w:val="none"/>
          </w:rPr>
          <w:t>WPZiB</w:t>
        </w:r>
        <w:proofErr w:type="spellEnd"/>
        <w:r w:rsidRPr="003F6FB7">
          <w:rPr>
            <w:rStyle w:val="Hipercze"/>
            <w:rFonts w:ascii="Calibri" w:hAnsi="Calibri" w:cs="Calibri"/>
            <w:bCs/>
            <w:color w:val="000000" w:themeColor="text1"/>
            <w:u w:val="none"/>
          </w:rPr>
          <w:t xml:space="preserve"> z dnia 15 października 2012 r. </w:t>
        </w:r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dotycząca środków ograniczających w związku z sytuacją na Białorusi i udziałem Białorusi w agresji Rosji wobec Ukrainy (Dz. Urz. UE L 285 z 17</w:t>
        </w:r>
        <w:r w:rsidR="00CC3BA9"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 xml:space="preserve"> października </w:t>
        </w:r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2012</w:t>
        </w:r>
        <w:r w:rsidR="00CC3BA9"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 xml:space="preserve"> r.</w:t>
        </w:r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, s. 1</w:t>
        </w:r>
        <w:r w:rsidR="00CC3BA9"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 xml:space="preserve">, z </w:t>
        </w:r>
        <w:proofErr w:type="spellStart"/>
        <w:r w:rsidR="00CC3BA9"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późn</w:t>
        </w:r>
        <w:proofErr w:type="spellEnd"/>
        <w:r w:rsidR="00CC3BA9"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. zm.</w:t>
        </w:r>
        <w:r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)</w:t>
        </w:r>
        <w:r w:rsidR="00D7773F" w:rsidRPr="003F6FB7">
          <w:rPr>
            <w:rStyle w:val="Hipercze"/>
            <w:rFonts w:ascii="Calibri" w:hAnsi="Calibri" w:cs="Calibri"/>
            <w:color w:val="000000" w:themeColor="text1"/>
            <w:u w:val="none"/>
          </w:rPr>
          <w:t>.</w:t>
        </w:r>
      </w:hyperlink>
      <w:r w:rsidR="002F2F2A" w:rsidRPr="003F6FB7">
        <w:rPr>
          <w:rFonts w:ascii="Calibri" w:hAnsi="Calibri" w:cs="Calibri"/>
          <w:color w:val="000000" w:themeColor="text1"/>
        </w:rPr>
        <w:t xml:space="preserve"> </w:t>
      </w:r>
    </w:p>
  </w:footnote>
  <w:footnote w:id="13">
    <w:p w14:paraId="57886482" w14:textId="7248A04D" w:rsidR="0099126C" w:rsidRPr="003F6FB7" w:rsidRDefault="0099126C" w:rsidP="003F6FB7">
      <w:pPr>
        <w:pStyle w:val="Tekstprzypisudolnego"/>
        <w:spacing w:line="276" w:lineRule="auto"/>
        <w:rPr>
          <w:rFonts w:ascii="Calibri" w:hAnsi="Calibri" w:cs="Calibri"/>
          <w:color w:val="000000" w:themeColor="text1"/>
        </w:rPr>
      </w:pPr>
      <w:r w:rsidRPr="003F6FB7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3F6FB7">
        <w:rPr>
          <w:rFonts w:ascii="Calibri" w:hAnsi="Calibri" w:cs="Calibri"/>
          <w:color w:val="000000" w:themeColor="text1"/>
        </w:rPr>
        <w:t xml:space="preserve"> Wnioskodawca wykreśl</w:t>
      </w:r>
      <w:r w:rsidR="0003543C" w:rsidRPr="003F6FB7">
        <w:rPr>
          <w:rFonts w:ascii="Calibri" w:hAnsi="Calibri" w:cs="Calibri"/>
          <w:color w:val="000000" w:themeColor="text1"/>
        </w:rPr>
        <w:t>a</w:t>
      </w:r>
      <w:r w:rsidRPr="003F6FB7">
        <w:rPr>
          <w:rFonts w:ascii="Calibri" w:hAnsi="Calibri" w:cs="Calibri"/>
          <w:color w:val="000000" w:themeColor="text1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3F6FB7" w:rsidRDefault="0099126C" w:rsidP="00F822C2">
      <w:pPr>
        <w:pStyle w:val="Tekstprzypisudolnego"/>
        <w:spacing w:after="60"/>
        <w:rPr>
          <w:rFonts w:ascii="Calibri" w:hAnsi="Calibri" w:cs="Calibri"/>
          <w:color w:val="000000" w:themeColor="text1"/>
        </w:rPr>
      </w:pPr>
      <w:r w:rsidRPr="003F6FB7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3F6FB7">
        <w:rPr>
          <w:rFonts w:ascii="Calibri" w:hAnsi="Calibri" w:cs="Calibri"/>
          <w:color w:val="000000" w:themeColor="text1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3F6FB7">
        <w:rPr>
          <w:rFonts w:ascii="Calibri" w:hAnsi="Calibri" w:cs="Calibri"/>
          <w:bCs/>
          <w:color w:val="000000" w:themeColor="text1"/>
        </w:rPr>
        <w:t xml:space="preserve">rozporządzenia Rady </w:t>
      </w:r>
      <w:r w:rsidRPr="003F6FB7">
        <w:rPr>
          <w:rFonts w:ascii="Calibri" w:hAnsi="Calibri" w:cs="Calibri"/>
          <w:color w:val="000000" w:themeColor="text1"/>
        </w:rPr>
        <w:t xml:space="preserve">(UE) nr 833/2014 (jak w przypisie 6) i art. 1 pkt 17 </w:t>
      </w:r>
      <w:r w:rsidRPr="003F6FB7">
        <w:rPr>
          <w:rFonts w:ascii="Calibri" w:hAnsi="Calibri" w:cs="Calibri"/>
          <w:bCs/>
          <w:color w:val="000000" w:themeColor="text1"/>
        </w:rPr>
        <w:t>rozporządzenia Rady (WE) nr 765/2006 (jak w przypisie 1).</w:t>
      </w:r>
    </w:p>
  </w:footnote>
  <w:footnote w:id="15">
    <w:p w14:paraId="4C8A2980" w14:textId="77777777" w:rsidR="0099126C" w:rsidRPr="003F6FB7" w:rsidRDefault="0099126C" w:rsidP="00F822C2">
      <w:pPr>
        <w:pStyle w:val="Tekstprzypisudolnego"/>
        <w:spacing w:after="60"/>
        <w:rPr>
          <w:rFonts w:ascii="Calibri" w:hAnsi="Calibri" w:cs="Calibri"/>
          <w:color w:val="000000" w:themeColor="text1"/>
        </w:rPr>
      </w:pPr>
      <w:r w:rsidRPr="003F6FB7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3F6FB7">
        <w:rPr>
          <w:rFonts w:ascii="Calibri" w:hAnsi="Calibri" w:cs="Calibri"/>
          <w:color w:val="000000" w:themeColor="text1"/>
        </w:rPr>
        <w:t xml:space="preserve"> Jeżeli beneficjentem wsparcia jest </w:t>
      </w:r>
      <w:r w:rsidRPr="003F6FB7">
        <w:rPr>
          <w:rFonts w:ascii="Calibri" w:hAnsi="Calibri" w:cs="Calibri"/>
          <w:bCs/>
          <w:color w:val="000000" w:themeColor="text1"/>
        </w:rPr>
        <w:t>przedsiębiorstwo z sektora MŚP mające siedzibę w Unii.</w:t>
      </w:r>
    </w:p>
  </w:footnote>
  <w:footnote w:id="16">
    <w:p w14:paraId="6B66EACA" w14:textId="77777777" w:rsidR="0099126C" w:rsidRPr="003F6FB7" w:rsidRDefault="0099126C" w:rsidP="00F822C2">
      <w:pPr>
        <w:pStyle w:val="Tekstprzypisudolnego"/>
        <w:spacing w:after="60"/>
        <w:rPr>
          <w:rFonts w:ascii="Calibri" w:hAnsi="Calibri" w:cs="Calibri"/>
          <w:color w:val="000000" w:themeColor="text1"/>
        </w:rPr>
      </w:pPr>
      <w:r w:rsidRPr="003F6FB7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3F6FB7">
        <w:rPr>
          <w:rFonts w:ascii="Calibri" w:hAnsi="Calibri" w:cs="Calibri"/>
          <w:color w:val="000000" w:themeColor="text1"/>
        </w:rPr>
        <w:t xml:space="preserve"> Art. 2e </w:t>
      </w:r>
      <w:r w:rsidRPr="003F6FB7">
        <w:rPr>
          <w:rFonts w:ascii="Calibri" w:hAnsi="Calibri" w:cs="Calibri"/>
          <w:bCs/>
          <w:color w:val="000000" w:themeColor="text1"/>
        </w:rPr>
        <w:t xml:space="preserve">rozporządzenia Rady </w:t>
      </w:r>
      <w:r w:rsidRPr="003F6FB7">
        <w:rPr>
          <w:rFonts w:ascii="Calibri" w:hAnsi="Calibri" w:cs="Calibri"/>
          <w:color w:val="000000" w:themeColor="text1"/>
        </w:rPr>
        <w:t xml:space="preserve">(UE) nr 833/2014 (jak w przypisie 6) i art. 1t </w:t>
      </w:r>
      <w:r w:rsidRPr="003F6FB7">
        <w:rPr>
          <w:rFonts w:ascii="Calibri" w:hAnsi="Calibri" w:cs="Calibri"/>
          <w:bCs/>
          <w:color w:val="000000" w:themeColor="text1"/>
        </w:rPr>
        <w:t>rozporządzenia Rady (WE) nr 765/2006 (jak w przypisie 1).</w:t>
      </w:r>
    </w:p>
  </w:footnote>
  <w:footnote w:id="17">
    <w:p w14:paraId="3D75FC22" w14:textId="77777777" w:rsidR="00C03712" w:rsidRPr="003F6FB7" w:rsidRDefault="00C03712" w:rsidP="00F822C2">
      <w:pPr>
        <w:autoSpaceDE w:val="0"/>
        <w:autoSpaceDN w:val="0"/>
        <w:spacing w:line="276" w:lineRule="auto"/>
        <w:rPr>
          <w:rFonts w:ascii="Calibri" w:hAnsi="Calibri" w:cs="Calibri"/>
          <w:color w:val="000000"/>
          <w:sz w:val="16"/>
          <w:szCs w:val="16"/>
        </w:rPr>
      </w:pPr>
      <w:r w:rsidRPr="003F6FB7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3F6FB7">
        <w:rPr>
          <w:rFonts w:ascii="Calibri" w:hAnsi="Calibri" w:cs="Calibri"/>
          <w:sz w:val="20"/>
          <w:szCs w:val="20"/>
        </w:rPr>
        <w:t xml:space="preserve"> </w:t>
      </w:r>
      <w:r w:rsidRPr="003F6FB7">
        <w:rPr>
          <w:rFonts w:ascii="Calibri" w:hAnsi="Calibri" w:cs="Calibri"/>
          <w:color w:val="000000"/>
          <w:sz w:val="20"/>
          <w:szCs w:val="20"/>
        </w:rPr>
        <w:t>Dokumenty lub oświadczenia składane przez Podmiot BUR/Podmiot współpracujący w procesie rekrutacji powinny być podpisane i ostemplowane w miejscach do tego przewidzianych (w przypadku załączania skanów do systemu rekrutacyjnego) lub podpisane elektronicznie przez osobę/y upoważnioną/e do reprezentowania  danego Podmiotu BUR/Podmiotu współpracującego (zgodnie z CEiDG lub KRS). Jeżeli upoważnienie do podpisania dokumentów lub oświadczeń w imieniu danego Podmiotu BUR/Podmiotu współpracującego wynika z udzielonego określonej osobie pełnomocnictwa poświadczonego notarialnie, pełnomocnictwo to musi być załączone do przekazywanych dokumentów.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500750"/>
      <w:docPartObj>
        <w:docPartGallery w:val="Page Numbers (Top of Page)"/>
        <w:docPartUnique/>
      </w:docPartObj>
    </w:sdtPr>
    <w:sdtContent>
      <w:p w14:paraId="696F9BA4" w14:textId="77777777" w:rsidR="0044576C" w:rsidRDefault="0044576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74BD896" w14:textId="683023F7" w:rsidR="0044576C" w:rsidRDefault="0044576C">
        <w:pPr>
          <w:pStyle w:val="Nagwek"/>
          <w:jc w:val="right"/>
        </w:pPr>
        <w:r w:rsidRPr="0035384D">
          <w:rPr>
            <w:rFonts w:ascii="Calibri" w:eastAsia="Calibri" w:hAnsi="Calibri" w:cs="Calibri"/>
            <w:b/>
            <w:noProof/>
            <w:sz w:val="24"/>
            <w:szCs w:val="24"/>
          </w:rPr>
          <w:drawing>
            <wp:anchor distT="0" distB="0" distL="114300" distR="114300" simplePos="0" relativeHeight="251661312" behindDoc="0" locked="0" layoutInCell="1" allowOverlap="1" wp14:anchorId="19E09D44" wp14:editId="58FDE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59450" cy="519950"/>
              <wp:effectExtent l="0" t="0" r="0" b="0"/>
              <wp:wrapNone/>
              <wp:docPr id="592316791" name="Obraz 592316791" descr="Ciąg logotypów&#10;&#10;Fundusze Europejskie dla Rozwoju Społecznego; Rzeczpospolita Polska; Dofinansowane przez Unię Europejską. PARP,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4_rozwoj_spoleczny_kolor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519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35D86CF" w14:textId="43B55B64" w:rsidR="005268F6" w:rsidRPr="00FC7FDD" w:rsidRDefault="005268F6" w:rsidP="00FC7F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9923199">
    <w:abstractNumId w:val="9"/>
  </w:num>
  <w:num w:numId="2" w16cid:durableId="1967351213">
    <w:abstractNumId w:val="10"/>
  </w:num>
  <w:num w:numId="3" w16cid:durableId="1341587465">
    <w:abstractNumId w:val="12"/>
  </w:num>
  <w:num w:numId="4" w16cid:durableId="1414549305">
    <w:abstractNumId w:val="7"/>
  </w:num>
  <w:num w:numId="5" w16cid:durableId="1199659961">
    <w:abstractNumId w:val="8"/>
  </w:num>
  <w:num w:numId="6" w16cid:durableId="1118987287">
    <w:abstractNumId w:val="16"/>
  </w:num>
  <w:num w:numId="7" w16cid:durableId="1800223244">
    <w:abstractNumId w:val="1"/>
  </w:num>
  <w:num w:numId="8" w16cid:durableId="226963077">
    <w:abstractNumId w:val="15"/>
  </w:num>
  <w:num w:numId="9" w16cid:durableId="1562519171">
    <w:abstractNumId w:val="13"/>
  </w:num>
  <w:num w:numId="10" w16cid:durableId="176502381">
    <w:abstractNumId w:val="0"/>
  </w:num>
  <w:num w:numId="11" w16cid:durableId="348218360">
    <w:abstractNumId w:val="2"/>
  </w:num>
  <w:num w:numId="12" w16cid:durableId="287663491">
    <w:abstractNumId w:val="5"/>
  </w:num>
  <w:num w:numId="13" w16cid:durableId="950435255">
    <w:abstractNumId w:val="6"/>
  </w:num>
  <w:num w:numId="14" w16cid:durableId="1230580049">
    <w:abstractNumId w:val="3"/>
  </w:num>
  <w:num w:numId="15" w16cid:durableId="1704940779">
    <w:abstractNumId w:val="4"/>
  </w:num>
  <w:num w:numId="16" w16cid:durableId="20361511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1247684">
    <w:abstractNumId w:val="14"/>
  </w:num>
  <w:num w:numId="18" w16cid:durableId="439940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0E771A"/>
    <w:rsid w:val="00110BE9"/>
    <w:rsid w:val="00122DAB"/>
    <w:rsid w:val="00151ED7"/>
    <w:rsid w:val="00154A9D"/>
    <w:rsid w:val="00154BA0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3035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080F"/>
    <w:rsid w:val="00336458"/>
    <w:rsid w:val="0035384D"/>
    <w:rsid w:val="003571AF"/>
    <w:rsid w:val="003A0ADD"/>
    <w:rsid w:val="003A0C91"/>
    <w:rsid w:val="003A7A49"/>
    <w:rsid w:val="003A7ED7"/>
    <w:rsid w:val="003B17B6"/>
    <w:rsid w:val="003B4AE1"/>
    <w:rsid w:val="003C6A57"/>
    <w:rsid w:val="003C74A2"/>
    <w:rsid w:val="003D4768"/>
    <w:rsid w:val="003D7E30"/>
    <w:rsid w:val="003E3924"/>
    <w:rsid w:val="003F6FB7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4576C"/>
    <w:rsid w:val="004532DD"/>
    <w:rsid w:val="004675AD"/>
    <w:rsid w:val="00485B4F"/>
    <w:rsid w:val="00485BC2"/>
    <w:rsid w:val="00497AC5"/>
    <w:rsid w:val="00497DC4"/>
    <w:rsid w:val="004B2CA4"/>
    <w:rsid w:val="004C46D5"/>
    <w:rsid w:val="004D0269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85D9A"/>
    <w:rsid w:val="006872F1"/>
    <w:rsid w:val="006B4A44"/>
    <w:rsid w:val="006C09F4"/>
    <w:rsid w:val="006D1AEA"/>
    <w:rsid w:val="006E1A22"/>
    <w:rsid w:val="006E1B1D"/>
    <w:rsid w:val="006E53DD"/>
    <w:rsid w:val="006E7242"/>
    <w:rsid w:val="006F10F2"/>
    <w:rsid w:val="00716AA0"/>
    <w:rsid w:val="00734B6A"/>
    <w:rsid w:val="007354E4"/>
    <w:rsid w:val="00741769"/>
    <w:rsid w:val="007528B4"/>
    <w:rsid w:val="00770935"/>
    <w:rsid w:val="007723E7"/>
    <w:rsid w:val="00785AE0"/>
    <w:rsid w:val="00793020"/>
    <w:rsid w:val="00793F6F"/>
    <w:rsid w:val="007B0180"/>
    <w:rsid w:val="007B13A4"/>
    <w:rsid w:val="007B5D22"/>
    <w:rsid w:val="007C1552"/>
    <w:rsid w:val="007C2798"/>
    <w:rsid w:val="007C33D0"/>
    <w:rsid w:val="007C772B"/>
    <w:rsid w:val="007F6C94"/>
    <w:rsid w:val="00821234"/>
    <w:rsid w:val="00844D61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1169E"/>
    <w:rsid w:val="0092341F"/>
    <w:rsid w:val="0093195B"/>
    <w:rsid w:val="009322E6"/>
    <w:rsid w:val="00944729"/>
    <w:rsid w:val="009514D4"/>
    <w:rsid w:val="00955B1F"/>
    <w:rsid w:val="0097073A"/>
    <w:rsid w:val="00983C95"/>
    <w:rsid w:val="0099126C"/>
    <w:rsid w:val="009A29EB"/>
    <w:rsid w:val="009A3C0C"/>
    <w:rsid w:val="009B2A2D"/>
    <w:rsid w:val="009C6B8A"/>
    <w:rsid w:val="009E06C9"/>
    <w:rsid w:val="009E7025"/>
    <w:rsid w:val="009E7B46"/>
    <w:rsid w:val="009E7BD7"/>
    <w:rsid w:val="009F3F14"/>
    <w:rsid w:val="009F7441"/>
    <w:rsid w:val="009F7D33"/>
    <w:rsid w:val="00A0507F"/>
    <w:rsid w:val="00A050FD"/>
    <w:rsid w:val="00A26EBF"/>
    <w:rsid w:val="00A352AF"/>
    <w:rsid w:val="00A516F0"/>
    <w:rsid w:val="00A535B7"/>
    <w:rsid w:val="00A57A7C"/>
    <w:rsid w:val="00A6021A"/>
    <w:rsid w:val="00A6129E"/>
    <w:rsid w:val="00A631B3"/>
    <w:rsid w:val="00A83D63"/>
    <w:rsid w:val="00A86A04"/>
    <w:rsid w:val="00A86B79"/>
    <w:rsid w:val="00A86F14"/>
    <w:rsid w:val="00A8788E"/>
    <w:rsid w:val="00A91539"/>
    <w:rsid w:val="00A96583"/>
    <w:rsid w:val="00A96DC0"/>
    <w:rsid w:val="00AB34B9"/>
    <w:rsid w:val="00AD1E88"/>
    <w:rsid w:val="00AE2CC6"/>
    <w:rsid w:val="00AF7CD4"/>
    <w:rsid w:val="00B23BE3"/>
    <w:rsid w:val="00B27E94"/>
    <w:rsid w:val="00B343E8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03712"/>
    <w:rsid w:val="00C236C4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171A5"/>
    <w:rsid w:val="00D2669F"/>
    <w:rsid w:val="00D30920"/>
    <w:rsid w:val="00D434C1"/>
    <w:rsid w:val="00D5709B"/>
    <w:rsid w:val="00D63400"/>
    <w:rsid w:val="00D71E0A"/>
    <w:rsid w:val="00D748B0"/>
    <w:rsid w:val="00D7773F"/>
    <w:rsid w:val="00DB1EF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A30B4"/>
    <w:rsid w:val="00EB71F9"/>
    <w:rsid w:val="00EC31E3"/>
    <w:rsid w:val="00ED1964"/>
    <w:rsid w:val="00ED29BA"/>
    <w:rsid w:val="00ED3412"/>
    <w:rsid w:val="00ED579B"/>
    <w:rsid w:val="00EE01F5"/>
    <w:rsid w:val="00EE2F36"/>
    <w:rsid w:val="00EF70A5"/>
    <w:rsid w:val="00F02132"/>
    <w:rsid w:val="00F02925"/>
    <w:rsid w:val="00F0673E"/>
    <w:rsid w:val="00F13E4E"/>
    <w:rsid w:val="00F230D8"/>
    <w:rsid w:val="00F366A5"/>
    <w:rsid w:val="00F4281B"/>
    <w:rsid w:val="00F505B7"/>
    <w:rsid w:val="00F6009E"/>
    <w:rsid w:val="00F64C9D"/>
    <w:rsid w:val="00F71B31"/>
    <w:rsid w:val="00F757CB"/>
    <w:rsid w:val="00F822C2"/>
    <w:rsid w:val="00F8440C"/>
    <w:rsid w:val="00F87B86"/>
    <w:rsid w:val="00FA09E6"/>
    <w:rsid w:val="00FA384C"/>
    <w:rsid w:val="00FB084E"/>
    <w:rsid w:val="00FB6022"/>
    <w:rsid w:val="00FC7FDD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6A508-02EF-4665-8DB6-82DB6C6F7E5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E1C7C-FED3-4F38-80F6-9A304E5F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Wojciech Małek</cp:lastModifiedBy>
  <cp:revision>8</cp:revision>
  <cp:lastPrinted>2024-09-18T13:20:00Z</cp:lastPrinted>
  <dcterms:created xsi:type="dcterms:W3CDTF">2024-11-29T09:26:00Z</dcterms:created>
  <dcterms:modified xsi:type="dcterms:W3CDTF">2025-02-27T16:10:00Z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