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432" w14:textId="77777777" w:rsidR="00997B27" w:rsidRPr="00F9588A" w:rsidRDefault="00997B27" w:rsidP="006C2B77">
      <w:pPr>
        <w:jc w:val="both"/>
        <w:rPr>
          <w:rFonts w:asciiTheme="minorHAnsi" w:hAnsiTheme="minorHAnsi" w:cstheme="minorHAnsi"/>
          <w:lang w:val="en-GB"/>
        </w:rPr>
      </w:pPr>
    </w:p>
    <w:p w14:paraId="0FC61AAD" w14:textId="77777777" w:rsidR="00C40696" w:rsidRPr="00F9588A" w:rsidRDefault="00C40696" w:rsidP="006C2B77">
      <w:pPr>
        <w:jc w:val="both"/>
        <w:rPr>
          <w:rFonts w:asciiTheme="minorHAnsi" w:hAnsiTheme="minorHAnsi" w:cstheme="minorHAnsi"/>
          <w:lang w:val="en-GB"/>
        </w:rPr>
      </w:pPr>
    </w:p>
    <w:p w14:paraId="37EC2BE4" w14:textId="77777777" w:rsidR="002F50C4" w:rsidRPr="002F50C4" w:rsidRDefault="002F50C4" w:rsidP="002F50C4">
      <w:pPr>
        <w:pStyle w:val="NormalnyWeb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2F50C4">
        <w:rPr>
          <w:rFonts w:asciiTheme="minorHAnsi" w:hAnsiTheme="minorHAnsi" w:cstheme="minorHAnsi"/>
          <w:b/>
          <w:bCs/>
          <w:color w:val="002060"/>
          <w:sz w:val="28"/>
          <w:szCs w:val="28"/>
        </w:rPr>
        <w:t>Konferencja Online:</w:t>
      </w:r>
    </w:p>
    <w:p w14:paraId="67529942" w14:textId="4B7E979B" w:rsidR="002F50C4" w:rsidRPr="002F50C4" w:rsidRDefault="002F50C4" w:rsidP="002F50C4">
      <w:pPr>
        <w:pStyle w:val="NormalnyWeb"/>
        <w:spacing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50C4">
        <w:rPr>
          <w:rFonts w:asciiTheme="minorHAnsi" w:hAnsiTheme="minorHAnsi" w:cstheme="minorHAnsi"/>
          <w:b/>
          <w:bCs/>
          <w:sz w:val="28"/>
          <w:szCs w:val="28"/>
        </w:rPr>
        <w:t>RODO 2.0 – Ochrona danych osobowych na rozdrożu: modernizacja, deregulacja czy zmiana paradygmatu?</w:t>
      </w:r>
    </w:p>
    <w:p w14:paraId="181D45E6" w14:textId="13DAE7DA" w:rsidR="00673FDA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Z okazji zbliżającego się </w:t>
      </w:r>
      <w:r w:rsidRPr="002F50C4">
        <w:rPr>
          <w:rFonts w:asciiTheme="minorHAnsi" w:hAnsiTheme="minorHAnsi" w:cstheme="minorHAnsi"/>
          <w:b/>
          <w:bCs/>
        </w:rPr>
        <w:t xml:space="preserve">Dnia Inspektora Ochrony Danych </w:t>
      </w:r>
      <w:r w:rsidRPr="002F50C4">
        <w:rPr>
          <w:rFonts w:asciiTheme="minorHAnsi" w:hAnsiTheme="minorHAnsi" w:cstheme="minorHAnsi"/>
        </w:rPr>
        <w:t xml:space="preserve">zapraszamy na </w:t>
      </w:r>
      <w:r w:rsidRPr="002F50C4">
        <w:rPr>
          <w:rFonts w:asciiTheme="minorHAnsi" w:hAnsiTheme="minorHAnsi" w:cstheme="minorHAnsi"/>
          <w:b/>
          <w:bCs/>
        </w:rPr>
        <w:t>bezpłatną konferencję online</w:t>
      </w:r>
      <w:r w:rsidRPr="002F50C4">
        <w:rPr>
          <w:rFonts w:asciiTheme="minorHAnsi" w:hAnsiTheme="minorHAnsi" w:cstheme="minorHAnsi"/>
        </w:rPr>
        <w:t xml:space="preserve">, która odbędzie się </w:t>
      </w:r>
      <w:r w:rsidRPr="002F50C4">
        <w:rPr>
          <w:rFonts w:asciiTheme="minorHAnsi" w:hAnsiTheme="minorHAnsi" w:cstheme="minorHAnsi"/>
          <w:b/>
          <w:bCs/>
        </w:rPr>
        <w:t>26 stycznia 2026 roku</w:t>
      </w:r>
      <w:r w:rsidRPr="002F50C4">
        <w:rPr>
          <w:rFonts w:asciiTheme="minorHAnsi" w:hAnsiTheme="minorHAnsi" w:cstheme="minorHAnsi"/>
        </w:rPr>
        <w:t>. Wydarzenie poświęcone będzie aktualnym i przyszłym wyzwaniom ochrony danych osobowych</w:t>
      </w:r>
      <w:r w:rsidR="00B57C88">
        <w:rPr>
          <w:rFonts w:asciiTheme="minorHAnsi" w:hAnsiTheme="minorHAnsi" w:cstheme="minorHAnsi"/>
        </w:rPr>
        <w:t>.</w:t>
      </w:r>
    </w:p>
    <w:p w14:paraId="5388EFDC" w14:textId="11056C6D" w:rsid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Konferencja skierowana jest do inspektorów ochrony danych, prawników, compliance officerów, przedstawicieli administracji publicznej, biznesu oraz środowisk akademickich, a także wszystkich osób zainteresowanych realnym kierunkiem rozwoju prawa ochrony danych.</w:t>
      </w:r>
    </w:p>
    <w:p w14:paraId="5C31276F" w14:textId="77777777" w:rsidR="002F50C4" w:rsidRPr="002F50C4" w:rsidRDefault="002F50C4" w:rsidP="002F50C4">
      <w:pPr>
        <w:pStyle w:val="NormalnyWeb"/>
        <w:jc w:val="center"/>
        <w:rPr>
          <w:rFonts w:asciiTheme="minorHAnsi" w:hAnsiTheme="minorHAnsi" w:cstheme="minorHAnsi"/>
          <w:b/>
          <w:bCs/>
          <w:color w:val="002060"/>
        </w:rPr>
      </w:pPr>
      <w:r w:rsidRPr="002F50C4">
        <w:rPr>
          <w:rFonts w:asciiTheme="minorHAnsi" w:hAnsiTheme="minorHAnsi" w:cstheme="minorHAnsi"/>
          <w:b/>
          <w:bCs/>
          <w:color w:val="002060"/>
        </w:rPr>
        <w:t>AGENDA</w:t>
      </w:r>
    </w:p>
    <w:p w14:paraId="64C2ACDB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KEY NOTE</w:t>
      </w:r>
    </w:p>
    <w:p w14:paraId="6F513E8A" w14:textId="4F8F43CB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Wyzwania dla ochrony danych osobowych w 2026 r.</w:t>
      </w:r>
    </w:p>
    <w:p w14:paraId="1AD91ED5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PANEL I</w:t>
      </w:r>
    </w:p>
    <w:p w14:paraId="16809E09" w14:textId="4C3AB098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 xml:space="preserve">Czy „dane osobowe” jeszcze istnieją? </w:t>
      </w:r>
      <w:r w:rsidR="00AA79FF">
        <w:rPr>
          <w:rFonts w:asciiTheme="minorHAnsi" w:hAnsiTheme="minorHAnsi" w:cstheme="minorHAnsi"/>
          <w:b/>
          <w:bCs/>
        </w:rPr>
        <w:t>-</w:t>
      </w:r>
      <w:r w:rsidRPr="002F50C4">
        <w:rPr>
          <w:rFonts w:asciiTheme="minorHAnsi" w:hAnsiTheme="minorHAnsi" w:cstheme="minorHAnsi"/>
          <w:b/>
          <w:bCs/>
        </w:rPr>
        <w:t xml:space="preserve"> linie orzecznicze TSUE a granice pojęcia danych</w:t>
      </w:r>
    </w:p>
    <w:p w14:paraId="5F3B6BC6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Cel panelu:</w:t>
      </w:r>
    </w:p>
    <w:p w14:paraId="05A28717" w14:textId="3F18BC0D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Pokazanie, że realna „zmiana RODO” dokonuje się nie w drodze deregulacji, lecz poprzez ewolucję wykładni pojęcia danych osobowych w orzecznictwie TSUE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często poza świadomością debaty politycznej.</w:t>
      </w:r>
    </w:p>
    <w:p w14:paraId="01F99852" w14:textId="7CA65B5E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Kluczowe zagadnienia:</w:t>
      </w:r>
    </w:p>
    <w:p w14:paraId="1094A103" w14:textId="4094E162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Rozszerzająca vs. funkcjonalna wykładnia pojęcia danych osobowych (Breyer, Nowak, SRB, Endemol, IAB Europe).</w:t>
      </w:r>
    </w:p>
    <w:p w14:paraId="4C0206AB" w14:textId="412B58DD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Dane pseudonimizowane, probabilistyczne, inferencyjne i syntetyczne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czy nadal „dane osobowe”?</w:t>
      </w:r>
    </w:p>
    <w:p w14:paraId="569E5DA9" w14:textId="647EE119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Dane w systemach AI: modele, wektory, embeddingi, profile </w:t>
      </w:r>
      <w:r w:rsidR="003A280B">
        <w:rPr>
          <w:rFonts w:asciiTheme="minorHAnsi" w:hAnsiTheme="minorHAnsi" w:cstheme="minorHAnsi"/>
        </w:rPr>
        <w:t xml:space="preserve">- </w:t>
      </w:r>
      <w:r w:rsidRPr="002F50C4">
        <w:rPr>
          <w:rFonts w:asciiTheme="minorHAnsi" w:hAnsiTheme="minorHAnsi" w:cstheme="minorHAnsi"/>
        </w:rPr>
        <w:t>dane czy artefakty techniczne?</w:t>
      </w:r>
    </w:p>
    <w:p w14:paraId="74437623" w14:textId="5086E3AB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orzecznictwo TSUE wzmacnia ochronę, czy ją „rozszczelnia” przez pragmatyzm?</w:t>
      </w:r>
    </w:p>
    <w:p w14:paraId="5B180324" w14:textId="77777777" w:rsidR="002F50C4" w:rsidRPr="002F50C4" w:rsidRDefault="002F50C4" w:rsidP="002F50C4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potrzebujemy rewizji pojęciowej, czy wystarczy konsekwentna wykładnia?</w:t>
      </w:r>
    </w:p>
    <w:p w14:paraId="433D619B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</w:p>
    <w:p w14:paraId="24D655DF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</w:p>
    <w:p w14:paraId="68B160D2" w14:textId="05751FD3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  <w:b/>
          <w:bCs/>
        </w:rPr>
        <w:t>Moderator:</w:t>
      </w:r>
      <w:r w:rsidRPr="002F50C4">
        <w:rPr>
          <w:rFonts w:asciiTheme="minorHAnsi" w:hAnsiTheme="minorHAnsi" w:cstheme="minorHAnsi"/>
        </w:rPr>
        <w:t xml:space="preserve"> </w:t>
      </w:r>
      <w:r w:rsidR="00E76F9B">
        <w:rPr>
          <w:rFonts w:asciiTheme="minorHAnsi" w:hAnsiTheme="minorHAnsi" w:cstheme="minorHAnsi"/>
        </w:rPr>
        <w:t xml:space="preserve">r. pr. </w:t>
      </w:r>
      <w:r w:rsidRPr="002F50C4">
        <w:rPr>
          <w:rFonts w:asciiTheme="minorHAnsi" w:hAnsiTheme="minorHAnsi" w:cstheme="minorHAnsi"/>
        </w:rPr>
        <w:t xml:space="preserve">Monika Susałko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Lubasz i Wspólnicy</w:t>
      </w:r>
    </w:p>
    <w:p w14:paraId="77DC3E1D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PANEL II</w:t>
      </w:r>
    </w:p>
    <w:p w14:paraId="5747D8F8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Uzasadniony interes 2.0 – nowy paradygmat legalności przetwarzania?</w:t>
      </w:r>
    </w:p>
    <w:p w14:paraId="7A5B7470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Cel panelu:</w:t>
      </w:r>
    </w:p>
    <w:p w14:paraId="218EDE6E" w14:textId="63CE5738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Krytyczna analiza, czy uzasadniony interes nie stał się w praktyce nowym paradygmatem przetwarzania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w szczególności w obszarze innowacji cyfrowych</w:t>
      </w:r>
      <w:r w:rsidR="003A280B">
        <w:rPr>
          <w:rFonts w:asciiTheme="minorHAnsi" w:hAnsiTheme="minorHAnsi" w:cstheme="minorHAnsi"/>
        </w:rPr>
        <w:t xml:space="preserve"> -</w:t>
      </w:r>
      <w:r w:rsidRPr="002F50C4">
        <w:rPr>
          <w:rFonts w:asciiTheme="minorHAnsi" w:hAnsiTheme="minorHAnsi" w:cstheme="minorHAnsi"/>
        </w:rPr>
        <w:t xml:space="preserve"> wbrew literalnemu brzmieniu RODO.</w:t>
      </w:r>
    </w:p>
    <w:p w14:paraId="76FA58B3" w14:textId="6DFD76CE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Kluczowe zagadnienia:</w:t>
      </w:r>
    </w:p>
    <w:p w14:paraId="03F53BBC" w14:textId="00C83686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na naszych oczach uzasadniony interes staje się domyślną podstawą przetwarzania dla innowacji cyfrowych i jakie miejsce zajmuje w tym wszystkim zgoda?</w:t>
      </w:r>
    </w:p>
    <w:p w14:paraId="016B282E" w14:textId="4AB85BE8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Uzasadniony interes w AI </w:t>
      </w:r>
      <w:r w:rsidR="003A280B">
        <w:rPr>
          <w:rFonts w:asciiTheme="minorHAnsi" w:hAnsiTheme="minorHAnsi" w:cstheme="minorHAnsi"/>
        </w:rPr>
        <w:t xml:space="preserve">- </w:t>
      </w:r>
      <w:r w:rsidRPr="002F50C4">
        <w:rPr>
          <w:rFonts w:asciiTheme="minorHAnsi" w:hAnsiTheme="minorHAnsi" w:cstheme="minorHAnsi"/>
        </w:rPr>
        <w:t>między legalnością a funkcjonalnością czyli: jak EROD i praktyka organów postrzegają uzasadniony interes przy trenowaniu i wdrażaniu modeli AI (fraud detection, conversational agents, threat detection vs. reklama/profilowanie)?</w:t>
      </w:r>
    </w:p>
    <w:p w14:paraId="51108BAE" w14:textId="5EB2C6B2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Granica między pragmatyzmem a deregulacją czyli: czy „pragmatyzm” niektórych organów nadzorczych (Holandia - ocena działań marketingowych i profilowania vs. linia EROD) to adaptacja RODO do nowych realiów, czy faktyczne rozwodnienie standardu ochrony? Czy „Omnibus” i narracja deregulacyjna nie wzmocni jeszcze bardziej tych tendencji?</w:t>
      </w:r>
    </w:p>
    <w:p w14:paraId="715395A6" w14:textId="08CA9495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KPP UE jako realny punkt odniesienia dla testu równowagi czyli jak w praktyce włączać prawa z Karty Praw Podstawowych do dokumentacji, aby ich uwzględnianie nie miało charakteru fasadowego?</w:t>
      </w:r>
    </w:p>
    <w:p w14:paraId="280CE4FF" w14:textId="0B7D8374" w:rsidR="002F50C4" w:rsidRPr="002F50C4" w:rsidRDefault="002F50C4" w:rsidP="002F50C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potrzebujemy ‘RODO 2.0’ w zakresie art. 6 ust. 1 lit. f (np. katalogu dozwolonych celów, domyślnych okresów retencji), czy raczej zmiany praktyki nadzorczej (lepsze wytyczne, wzorcowe testy równowagi)?</w:t>
      </w:r>
    </w:p>
    <w:p w14:paraId="20C18D8D" w14:textId="44616ED4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  <w:b/>
          <w:bCs/>
        </w:rPr>
        <w:t>Moderator:</w:t>
      </w:r>
      <w:r w:rsidRPr="002F50C4">
        <w:rPr>
          <w:rFonts w:asciiTheme="minorHAnsi" w:hAnsiTheme="minorHAnsi" w:cstheme="minorHAnsi"/>
        </w:rPr>
        <w:t xml:space="preserve"> dr Joanna Łuczak-Tarka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CODO UŁ / Lubasz i Wspólnicy</w:t>
      </w:r>
    </w:p>
    <w:p w14:paraId="3C601557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PANEL III</w:t>
      </w:r>
    </w:p>
    <w:p w14:paraId="4D1F9082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F50C4">
        <w:rPr>
          <w:rFonts w:asciiTheme="minorHAnsi" w:hAnsiTheme="minorHAnsi" w:cstheme="minorHAnsi"/>
          <w:b/>
          <w:bCs/>
        </w:rPr>
        <w:t>Digital Omnibus, AI Act i przyszłość ochrony danych – uproszczenie czy demontaż standardów?</w:t>
      </w:r>
    </w:p>
    <w:p w14:paraId="4EF7A644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Cel panelu:</w:t>
      </w:r>
    </w:p>
    <w:p w14:paraId="0DB24CC8" w14:textId="77777777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Ocena, czy pakiety takie jak Omnibus, w połączeniu z AI Act, oznaczają realne wsparcie innowacji, czy raczej polityczną narrację deregulacyjną, która nie rozwiązuje rzeczywistych problemów konkurencyjności UE.</w:t>
      </w:r>
    </w:p>
    <w:p w14:paraId="68995E7A" w14:textId="21AE91EB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Kluczowe zagadnienia:</w:t>
      </w:r>
    </w:p>
    <w:p w14:paraId="32ABC592" w14:textId="7494A4CB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Omnibus: realne uproszczenie czy tylko redukcja obowiązków administracyjnych?</w:t>
      </w:r>
    </w:p>
    <w:p w14:paraId="6E32B1E8" w14:textId="540BC759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Czy deregulacja RODO faktycznie zwiększa innowacyjność?</w:t>
      </w:r>
    </w:p>
    <w:p w14:paraId="6DFDD859" w14:textId="37DA2EC5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AI Act i RODO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spójność czy kumulacja obowiązków?</w:t>
      </w:r>
    </w:p>
    <w:p w14:paraId="00626089" w14:textId="26CCFD09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lastRenderedPageBreak/>
        <w:t>Ryzyko „regulatory fatigue” i jego wpływ na realną ochronę praw jednostki.</w:t>
      </w:r>
    </w:p>
    <w:p w14:paraId="2B17DFCB" w14:textId="03FEA709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 xml:space="preserve">Argumenty Letty, Draghiego, Bradford, Zuboff, Hartzog </w:t>
      </w:r>
      <w:r w:rsidR="003A280B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innowacyjność, konkurencyjności UE, regulacja jako warunek zaufania, nie bariera.</w:t>
      </w:r>
    </w:p>
    <w:p w14:paraId="2D8425CC" w14:textId="30FA6088" w:rsidR="002F50C4" w:rsidRPr="002F50C4" w:rsidRDefault="002F50C4" w:rsidP="002F50C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Co naprawdę blokuje innowacje w UE: regulacja czy brak kapitału, rynku i wizji?</w:t>
      </w:r>
    </w:p>
    <w:p w14:paraId="53CD9945" w14:textId="578807C7" w:rsidR="00673FDA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  <w:b/>
          <w:bCs/>
        </w:rPr>
        <w:t>Moderator:</w:t>
      </w:r>
      <w:r w:rsidRPr="002F50C4">
        <w:rPr>
          <w:rFonts w:asciiTheme="minorHAnsi" w:hAnsiTheme="minorHAnsi" w:cstheme="minorHAnsi"/>
        </w:rPr>
        <w:t xml:space="preserve"> dr hab. Dominik Lubasz </w:t>
      </w:r>
      <w:r w:rsidR="00AA79FF">
        <w:rPr>
          <w:rFonts w:asciiTheme="minorHAnsi" w:hAnsiTheme="minorHAnsi" w:cstheme="minorHAnsi"/>
        </w:rPr>
        <w:t>-</w:t>
      </w:r>
      <w:r w:rsidRPr="002F50C4">
        <w:rPr>
          <w:rFonts w:asciiTheme="minorHAnsi" w:hAnsiTheme="minorHAnsi" w:cstheme="minorHAnsi"/>
        </w:rPr>
        <w:t xml:space="preserve"> Lubasz i Wspólnicy</w:t>
      </w:r>
    </w:p>
    <w:p w14:paraId="1F9178CD" w14:textId="057A8CEF" w:rsidR="00673FDA" w:rsidRPr="002F50C4" w:rsidRDefault="00673FDA" w:rsidP="002F50C4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Wśród potwierdzonych prelegentów są: </w:t>
      </w:r>
      <w:r w:rsidRPr="00673FDA">
        <w:rPr>
          <w:rFonts w:asciiTheme="minorHAnsi" w:hAnsiTheme="minorHAnsi" w:cstheme="minorHAnsi"/>
        </w:rPr>
        <w:t>prof. INP PAN dr hab. Grzegorz Sibiga</w:t>
      </w:r>
      <w:r>
        <w:rPr>
          <w:rFonts w:asciiTheme="minorHAnsi" w:hAnsiTheme="minorHAnsi" w:cstheme="minorHAnsi"/>
        </w:rPr>
        <w:t>, dr Edyta Bielak-Jomaa</w:t>
      </w:r>
      <w:r w:rsidR="007E67A0">
        <w:rPr>
          <w:rFonts w:asciiTheme="minorHAnsi" w:hAnsiTheme="minorHAnsi" w:cstheme="minorHAnsi"/>
        </w:rPr>
        <w:t xml:space="preserve">, </w:t>
      </w:r>
      <w:r w:rsidR="007E67A0" w:rsidRPr="007E67A0">
        <w:rPr>
          <w:rFonts w:asciiTheme="minorHAnsi" w:hAnsiTheme="minorHAnsi" w:cstheme="minorHAnsi"/>
        </w:rPr>
        <w:t>r. pr. dr Mirosław Gumularz</w:t>
      </w:r>
      <w:r w:rsidR="007E67A0">
        <w:rPr>
          <w:rFonts w:asciiTheme="minorHAnsi" w:hAnsiTheme="minorHAnsi" w:cstheme="minorHAnsi"/>
        </w:rPr>
        <w:t>, r.</w:t>
      </w:r>
      <w:r w:rsidR="00A938E9">
        <w:rPr>
          <w:rFonts w:asciiTheme="minorHAnsi" w:hAnsiTheme="minorHAnsi" w:cstheme="minorHAnsi"/>
        </w:rPr>
        <w:t xml:space="preserve"> </w:t>
      </w:r>
      <w:r w:rsidR="007E67A0">
        <w:rPr>
          <w:rFonts w:asciiTheme="minorHAnsi" w:hAnsiTheme="minorHAnsi" w:cstheme="minorHAnsi"/>
        </w:rPr>
        <w:t>pr. dr Maria Dymitruk, r. pr. dr Damian Flisak.</w:t>
      </w:r>
    </w:p>
    <w:p w14:paraId="4FC36C4A" w14:textId="58F61798" w:rsidR="002F50C4" w:rsidRPr="002F50C4" w:rsidRDefault="00673FDA" w:rsidP="002F50C4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Wydarzenie organizowan</w:t>
      </w:r>
      <w:r w:rsidR="00B57C8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jest </w:t>
      </w:r>
      <w:r w:rsidR="00B57C88">
        <w:rPr>
          <w:rFonts w:asciiTheme="minorHAnsi" w:hAnsiTheme="minorHAnsi" w:cstheme="minorHAnsi"/>
        </w:rPr>
        <w:t xml:space="preserve">przez </w:t>
      </w:r>
      <w:r>
        <w:rPr>
          <w:rFonts w:asciiTheme="minorHAnsi" w:hAnsiTheme="minorHAnsi" w:cstheme="minorHAnsi"/>
        </w:rPr>
        <w:t>Lubasz i Wspólnicy – Kancelaria Radców Prawnych sp.k.</w:t>
      </w:r>
    </w:p>
    <w:p w14:paraId="73E1B6B6" w14:textId="722129B9" w:rsid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Zapraszamy do zapisów i udziału w dyskusji o przyszłości ochrony danych osobowych</w:t>
      </w:r>
      <w:r>
        <w:rPr>
          <w:rFonts w:asciiTheme="minorHAnsi" w:hAnsiTheme="minorHAnsi" w:cstheme="minorHAnsi"/>
        </w:rPr>
        <w:t>:</w:t>
      </w:r>
    </w:p>
    <w:p w14:paraId="32081B57" w14:textId="3C1C7619" w:rsidR="002F50C4" w:rsidRPr="002F50C4" w:rsidRDefault="002F50C4" w:rsidP="002F50C4">
      <w:pPr>
        <w:pStyle w:val="NormalnyWeb"/>
        <w:jc w:val="both"/>
        <w:rPr>
          <w:rFonts w:asciiTheme="minorHAnsi" w:hAnsiTheme="minorHAnsi" w:cstheme="minorHAnsi"/>
        </w:rPr>
      </w:pPr>
      <w:r w:rsidRPr="002F50C4">
        <w:rPr>
          <w:rFonts w:asciiTheme="minorHAnsi" w:hAnsiTheme="minorHAnsi" w:cstheme="minorHAnsi"/>
        </w:rPr>
        <w:t>https://www.webinary.lubasziwspolnicy.pl/webinary/rodo-2-0-ochrona-danych-osobowych-na-rozdrozu-modernizacja-deregulacja-czy-zmiana-paradygmatu</w:t>
      </w:r>
    </w:p>
    <w:p w14:paraId="779499FF" w14:textId="4F6945CD" w:rsidR="006C2B77" w:rsidRPr="00F9588A" w:rsidRDefault="006C2B77" w:rsidP="00E116DE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</w:p>
    <w:sectPr w:rsidR="006C2B77" w:rsidRPr="00F9588A" w:rsidSect="00241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991" w:bottom="1418" w:left="993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F080" w14:textId="77777777" w:rsidR="00F30BA0" w:rsidRDefault="00F30BA0" w:rsidP="00AF4B81">
      <w:pPr>
        <w:spacing w:after="0" w:line="240" w:lineRule="auto"/>
      </w:pPr>
      <w:r>
        <w:separator/>
      </w:r>
    </w:p>
  </w:endnote>
  <w:endnote w:type="continuationSeparator" w:id="0">
    <w:p w14:paraId="5A1C6D62" w14:textId="77777777" w:rsidR="00F30BA0" w:rsidRDefault="00F30BA0" w:rsidP="00AF4B81">
      <w:pPr>
        <w:spacing w:after="0" w:line="240" w:lineRule="auto"/>
      </w:pPr>
      <w:r>
        <w:continuationSeparator/>
      </w:r>
    </w:p>
  </w:endnote>
  <w:endnote w:type="continuationNotice" w:id="1">
    <w:p w14:paraId="1D3318B6" w14:textId="77777777" w:rsidR="00F30BA0" w:rsidRDefault="00F30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7840" w14:textId="77777777" w:rsidR="00736F1D" w:rsidRDefault="00ED3521" w:rsidP="006458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36F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7D2351" w14:textId="77777777" w:rsidR="00736F1D" w:rsidRDefault="00736F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70A9" w14:textId="77777777" w:rsidR="00736F1D" w:rsidRDefault="00ED3521" w:rsidP="006458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36F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1FA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A030818" w14:textId="77777777" w:rsidR="00736F1D" w:rsidRDefault="00736F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97F3" w14:textId="77777777" w:rsidR="00860DC2" w:rsidRPr="00B13505" w:rsidRDefault="00860DC2" w:rsidP="00E11BEE">
    <w:pPr>
      <w:pStyle w:val="Stopka"/>
      <w:jc w:val="center"/>
      <w:rPr>
        <w:rFonts w:ascii="Segoe UI" w:eastAsia="Yu Gothic UI Light" w:hAnsi="Segoe UI" w:cs="Segoe UI"/>
        <w:color w:val="6D6B6D"/>
      </w:rPr>
    </w:pPr>
    <w:r w:rsidRPr="00B13505">
      <w:rPr>
        <w:rFonts w:ascii="Segoe UI" w:eastAsia="Yu Gothic UI Light" w:hAnsi="Segoe UI" w:cs="Segoe UI"/>
        <w:color w:val="6D6B6D"/>
      </w:rPr>
      <w:t>www.lubasziwsp</w:t>
    </w:r>
    <w:r w:rsidR="00973677" w:rsidRPr="00B13505">
      <w:rPr>
        <w:rFonts w:ascii="Segoe UI" w:eastAsia="Yu Gothic UI Light" w:hAnsi="Segoe UI" w:cs="Segoe UI"/>
        <w:color w:val="6D6B6D"/>
      </w:rPr>
      <w:t>o</w:t>
    </w:r>
    <w:r w:rsidRPr="00B13505">
      <w:rPr>
        <w:rFonts w:ascii="Segoe UI" w:eastAsia="Yu Gothic UI Light" w:hAnsi="Segoe UI" w:cs="Segoe UI"/>
        <w:color w:val="6D6B6D"/>
      </w:rPr>
      <w:t>lnicy.pl</w:t>
    </w:r>
    <w:r w:rsidR="00FD5909" w:rsidRPr="00B13505">
      <w:rPr>
        <w:rFonts w:ascii="Segoe UI" w:eastAsia="Yu Gothic UI Light" w:hAnsi="Segoe UI" w:cs="Segoe UI"/>
        <w:color w:val="6D6B6D"/>
      </w:rPr>
      <w:t xml:space="preserve"> ,</w:t>
    </w:r>
    <w:r w:rsidRPr="00B13505">
      <w:rPr>
        <w:rFonts w:ascii="Segoe UI" w:eastAsia="Yu Gothic UI Light" w:hAnsi="Segoe UI" w:cs="Segoe UI"/>
        <w:color w:val="6D6B6D"/>
      </w:rPr>
      <w:t xml:space="preserve"> info@lubasziwspolnicy.pl</w:t>
    </w:r>
  </w:p>
  <w:p w14:paraId="42612B68" w14:textId="77777777" w:rsidR="00860DC2" w:rsidRPr="00E11BEE" w:rsidRDefault="00135D68" w:rsidP="00860DC2">
    <w:pPr>
      <w:pStyle w:val="Stopka"/>
      <w:jc w:val="center"/>
      <w:rPr>
        <w:rFonts w:ascii="Segoe UI" w:hAnsi="Segoe UI" w:cs="Segoe UI"/>
        <w:color w:val="6D6B6D"/>
        <w:sz w:val="20"/>
        <w:szCs w:val="20"/>
      </w:rPr>
    </w:pPr>
    <w:r w:rsidRPr="00E11BEE">
      <w:rPr>
        <w:rFonts w:ascii="Segoe UI" w:hAnsi="Segoe UI" w:cs="Segoe UI"/>
        <w:noProof/>
        <w:color w:val="6D6B6D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403DF4" wp14:editId="1C959D5F">
              <wp:simplePos x="0" y="0"/>
              <wp:positionH relativeFrom="column">
                <wp:posOffset>7620</wp:posOffset>
              </wp:positionH>
              <wp:positionV relativeFrom="paragraph">
                <wp:posOffset>60325</wp:posOffset>
              </wp:positionV>
              <wp:extent cx="61849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ln>
                        <a:solidFill>
                          <a:srgbClr val="6D6B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5C95280">
            <v:line id="Łącznik prosty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d6b6d" from=".6pt,4.75pt" to="487.6pt,4.75pt" w14:anchorId="0336A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"/>
          </w:pict>
        </mc:Fallback>
      </mc:AlternateContent>
    </w:r>
  </w:p>
  <w:p w14:paraId="24CAFE5D" w14:textId="77777777" w:rsidR="00860DC2" w:rsidRPr="00B13505" w:rsidRDefault="00860DC2" w:rsidP="00B13505">
    <w:pPr>
      <w:pStyle w:val="Stopka"/>
      <w:tabs>
        <w:tab w:val="clear" w:pos="9072"/>
      </w:tabs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>Lubasz i Wspólnicy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- Kancelaria Radców Prawnych sp.k</w:t>
    </w:r>
    <w:r w:rsidR="00AF0252" w:rsidRPr="00B13505">
      <w:rPr>
        <w:rFonts w:ascii="Segoe UI" w:eastAsia="Yu Gothic UI Light" w:hAnsi="Segoe UI" w:cs="Segoe UI"/>
        <w:color w:val="6D6B6D"/>
        <w:sz w:val="17"/>
        <w:szCs w:val="17"/>
      </w:rPr>
      <w:t>.</w:t>
    </w:r>
  </w:p>
  <w:p w14:paraId="1A8CF780" w14:textId="77777777" w:rsidR="00860DC2" w:rsidRPr="00B13505" w:rsidRDefault="00860DC2" w:rsidP="00B13505">
    <w:pPr>
      <w:pStyle w:val="Stopka"/>
      <w:tabs>
        <w:tab w:val="clear" w:pos="9072"/>
      </w:tabs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>Biuro w Łodzi: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ul. Żwirki 17, Łódź 90-539, </w:t>
    </w:r>
    <w:r w:rsidR="00AF0252" w:rsidRPr="00B13505">
      <w:rPr>
        <w:rFonts w:ascii="Segoe UI" w:eastAsia="Yu Gothic UI Light" w:hAnsi="Segoe UI" w:cs="Segoe UI"/>
        <w:color w:val="6D6B6D"/>
        <w:sz w:val="17"/>
        <w:szCs w:val="17"/>
      </w:rPr>
      <w:t>Tel.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>+48 42 631 94 44, +48 42 63</w:t>
    </w:r>
    <w:r w:rsidR="00FD5909" w:rsidRPr="00B13505">
      <w:rPr>
        <w:rFonts w:ascii="Segoe UI" w:eastAsia="Yu Gothic UI Light" w:hAnsi="Segoe UI" w:cs="Segoe UI"/>
        <w:color w:val="6D6B6D"/>
        <w:sz w:val="17"/>
        <w:szCs w:val="17"/>
      </w:rPr>
      <w:t>1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</w:t>
    </w:r>
    <w:r w:rsidR="00FD5909" w:rsidRPr="00B13505">
      <w:rPr>
        <w:rFonts w:ascii="Segoe UI" w:eastAsia="Yu Gothic UI Light" w:hAnsi="Segoe UI" w:cs="Segoe UI"/>
        <w:color w:val="6D6B6D"/>
        <w:sz w:val="17"/>
        <w:szCs w:val="17"/>
      </w:rPr>
      <w:t>94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</w:t>
    </w:r>
    <w:r w:rsidR="00FD5909" w:rsidRPr="00B13505">
      <w:rPr>
        <w:rFonts w:ascii="Segoe UI" w:eastAsia="Yu Gothic UI Light" w:hAnsi="Segoe UI" w:cs="Segoe UI"/>
        <w:color w:val="6D6B6D"/>
        <w:sz w:val="17"/>
        <w:szCs w:val="17"/>
      </w:rPr>
      <w:t>46</w:t>
    </w:r>
  </w:p>
  <w:p w14:paraId="2CFFA871" w14:textId="299725B8" w:rsidR="00F44FBC" w:rsidRPr="00F1109D" w:rsidRDefault="0074472B" w:rsidP="00F1109D">
    <w:pPr>
      <w:pStyle w:val="Stopka"/>
      <w:tabs>
        <w:tab w:val="right" w:pos="9639"/>
      </w:tabs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 xml:space="preserve">Biuro w Warszawie: </w:t>
    </w:r>
    <w:r w:rsidR="00F1109D" w:rsidRPr="00F1109D">
      <w:rPr>
        <w:rFonts w:ascii="Segoe UI" w:eastAsia="Yu Gothic UI Light" w:hAnsi="Segoe UI" w:cs="Segoe UI"/>
        <w:color w:val="6D6B6D"/>
        <w:sz w:val="17"/>
        <w:szCs w:val="17"/>
      </w:rPr>
      <w:t>ul. Żelazna 59A (piętro 6)</w:t>
    </w:r>
    <w:r w:rsidR="00FD325B">
      <w:rPr>
        <w:rFonts w:ascii="Segoe UI" w:eastAsia="Yu Gothic UI Light" w:hAnsi="Segoe UI" w:cs="Segoe UI"/>
        <w:color w:val="6D6B6D"/>
        <w:sz w:val="17"/>
        <w:szCs w:val="17"/>
      </w:rPr>
      <w:t xml:space="preserve">, </w:t>
    </w:r>
    <w:r w:rsidR="00F1109D" w:rsidRPr="00F1109D">
      <w:rPr>
        <w:rFonts w:ascii="Segoe UI" w:eastAsia="Yu Gothic UI Light" w:hAnsi="Segoe UI" w:cs="Segoe UI"/>
        <w:color w:val="6D6B6D"/>
        <w:sz w:val="17"/>
        <w:szCs w:val="17"/>
      </w:rPr>
      <w:t>00-848 Warszawa</w:t>
    </w:r>
    <w:r w:rsidR="000F5D6E" w:rsidRPr="000F5D6E">
      <w:rPr>
        <w:rFonts w:ascii="Segoe UI" w:eastAsia="Yu Gothic UI Light" w:hAnsi="Segoe UI" w:cs="Segoe UI"/>
        <w:color w:val="6D6B6D"/>
        <w:sz w:val="17"/>
        <w:szCs w:val="17"/>
      </w:rPr>
      <w:t>, Tel. +48 22 526 55 20</w:t>
    </w:r>
  </w:p>
  <w:p w14:paraId="66EDC0B4" w14:textId="77777777" w:rsidR="00860DC2" w:rsidRPr="00B13505" w:rsidRDefault="00860DC2" w:rsidP="00B13505">
    <w:pPr>
      <w:pStyle w:val="Stopka"/>
      <w:tabs>
        <w:tab w:val="clear" w:pos="9072"/>
      </w:tabs>
      <w:spacing w:after="120"/>
      <w:jc w:val="center"/>
      <w:rPr>
        <w:rFonts w:ascii="Segoe UI" w:eastAsia="Yu Gothic UI Light" w:hAnsi="Segoe UI" w:cs="Segoe UI"/>
        <w:color w:val="6D6B6D"/>
        <w:sz w:val="17"/>
        <w:szCs w:val="17"/>
      </w:rPr>
    </w:pPr>
    <w:r w:rsidRPr="00B13505">
      <w:rPr>
        <w:rFonts w:ascii="Segoe UI" w:eastAsia="Yu Gothic UI Light" w:hAnsi="Segoe UI" w:cs="Segoe UI"/>
        <w:b/>
        <w:color w:val="6D6B6D"/>
        <w:sz w:val="17"/>
        <w:szCs w:val="17"/>
      </w:rPr>
      <w:t>Biuro we Wrocławiu: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 xml:space="preserve"> ul. Sikorskiego 5/17, 53-659 Wrocław, </w:t>
    </w:r>
    <w:r w:rsidR="00AF0252" w:rsidRPr="00B13505">
      <w:rPr>
        <w:rFonts w:ascii="Segoe UI" w:eastAsia="Yu Gothic UI Light" w:hAnsi="Segoe UI" w:cs="Segoe UI"/>
        <w:color w:val="6D6B6D"/>
        <w:sz w:val="17"/>
        <w:szCs w:val="17"/>
      </w:rPr>
      <w:t>Tel.</w:t>
    </w:r>
    <w:r w:rsidRPr="00B13505">
      <w:rPr>
        <w:rFonts w:ascii="Segoe UI" w:eastAsia="Yu Gothic UI Light" w:hAnsi="Segoe UI" w:cs="Segoe UI"/>
        <w:color w:val="6D6B6D"/>
        <w:sz w:val="17"/>
        <w:szCs w:val="17"/>
      </w:rPr>
      <w:t>+48 71 735 10 71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3A0E" w14:textId="77777777" w:rsidR="00F30BA0" w:rsidRDefault="00F30BA0" w:rsidP="00AF4B81">
      <w:pPr>
        <w:spacing w:after="0" w:line="240" w:lineRule="auto"/>
      </w:pPr>
      <w:r>
        <w:separator/>
      </w:r>
    </w:p>
  </w:footnote>
  <w:footnote w:type="continuationSeparator" w:id="0">
    <w:p w14:paraId="7276EE09" w14:textId="77777777" w:rsidR="00F30BA0" w:rsidRDefault="00F30BA0" w:rsidP="00AF4B81">
      <w:pPr>
        <w:spacing w:after="0" w:line="240" w:lineRule="auto"/>
      </w:pPr>
      <w:r>
        <w:continuationSeparator/>
      </w:r>
    </w:p>
  </w:footnote>
  <w:footnote w:type="continuationNotice" w:id="1">
    <w:p w14:paraId="4CF3258A" w14:textId="77777777" w:rsidR="00F30BA0" w:rsidRDefault="00F30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E7B6" w14:textId="77777777" w:rsidR="006C7D3C" w:rsidRDefault="006C7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FADD" w14:textId="77777777" w:rsidR="00736F1D" w:rsidRDefault="00736F1D">
    <w:pPr>
      <w:pStyle w:val="Nagwek"/>
    </w:pPr>
  </w:p>
  <w:p w14:paraId="727ED3CA" w14:textId="77777777" w:rsidR="00736F1D" w:rsidRDefault="00736F1D">
    <w:pPr>
      <w:pStyle w:val="Nagwek"/>
    </w:pPr>
  </w:p>
  <w:p w14:paraId="068FCE9E" w14:textId="77777777" w:rsidR="00736F1D" w:rsidRDefault="00736F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0651" w14:textId="77777777" w:rsidR="00736F1D" w:rsidRDefault="00B635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C8BA01" wp14:editId="0F94A9BC">
          <wp:simplePos x="0" y="0"/>
          <wp:positionH relativeFrom="column">
            <wp:posOffset>-492760</wp:posOffset>
          </wp:positionH>
          <wp:positionV relativeFrom="paragraph">
            <wp:posOffset>-338455</wp:posOffset>
          </wp:positionV>
          <wp:extent cx="2889250" cy="1259205"/>
          <wp:effectExtent l="0" t="0" r="0" b="0"/>
          <wp:wrapSquare wrapText="bothSides"/>
          <wp:docPr id="19" name="Picture 19" descr="D:\!LW\LOGO LW i SI\LW logo\LW_logo_jasne_przezr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LW\LOGO LW i SI\LW logo\LW_logo_jasne_przezr_t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53765F0A"/>
    <w:name w:val="WW8Num4"/>
    <w:lvl w:ilvl="0">
      <w:start w:val="1"/>
      <w:numFmt w:val="decimal"/>
      <w:lvlText w:val="1%1"/>
      <w:lvlJc w:val="left"/>
      <w:pPr>
        <w:tabs>
          <w:tab w:val="num" w:pos="227"/>
        </w:tabs>
        <w:ind w:left="227" w:firstLine="0"/>
      </w:pPr>
    </w:lvl>
    <w:lvl w:ilvl="1">
      <w:start w:val="1"/>
      <w:numFmt w:val="decimal"/>
      <w:lvlText w:val="[%2]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A6D0C"/>
    <w:multiLevelType w:val="multilevel"/>
    <w:tmpl w:val="439E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UNKTO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FB20B6"/>
    <w:multiLevelType w:val="multilevel"/>
    <w:tmpl w:val="223A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72CFC"/>
    <w:multiLevelType w:val="hybridMultilevel"/>
    <w:tmpl w:val="0D0260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4C03"/>
    <w:multiLevelType w:val="hybridMultilevel"/>
    <w:tmpl w:val="BB36A1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0511"/>
    <w:multiLevelType w:val="hybridMultilevel"/>
    <w:tmpl w:val="0422E4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062D"/>
    <w:multiLevelType w:val="hybridMultilevel"/>
    <w:tmpl w:val="57385C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A21F5"/>
    <w:multiLevelType w:val="multilevel"/>
    <w:tmpl w:val="FED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92297"/>
    <w:multiLevelType w:val="hybridMultilevel"/>
    <w:tmpl w:val="8BA60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89999">
    <w:abstractNumId w:val="2"/>
  </w:num>
  <w:num w:numId="2" w16cid:durableId="206767934">
    <w:abstractNumId w:val="8"/>
  </w:num>
  <w:num w:numId="3" w16cid:durableId="912272981">
    <w:abstractNumId w:val="3"/>
  </w:num>
  <w:num w:numId="4" w16cid:durableId="1864391584">
    <w:abstractNumId w:val="5"/>
  </w:num>
  <w:num w:numId="5" w16cid:durableId="1171943055">
    <w:abstractNumId w:val="4"/>
  </w:num>
  <w:num w:numId="6" w16cid:durableId="385184277">
    <w:abstractNumId w:val="7"/>
  </w:num>
  <w:num w:numId="7" w16cid:durableId="1717924427">
    <w:abstractNumId w:val="9"/>
  </w:num>
  <w:num w:numId="8" w16cid:durableId="4195658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81"/>
    <w:rsid w:val="00001EF8"/>
    <w:rsid w:val="00004B01"/>
    <w:rsid w:val="00004E9C"/>
    <w:rsid w:val="0000645A"/>
    <w:rsid w:val="000127B1"/>
    <w:rsid w:val="00015581"/>
    <w:rsid w:val="00045134"/>
    <w:rsid w:val="0004752B"/>
    <w:rsid w:val="00054B76"/>
    <w:rsid w:val="00062A4B"/>
    <w:rsid w:val="00071CAF"/>
    <w:rsid w:val="00076E6F"/>
    <w:rsid w:val="000770A9"/>
    <w:rsid w:val="00092C12"/>
    <w:rsid w:val="000938EE"/>
    <w:rsid w:val="00096B0C"/>
    <w:rsid w:val="000A10EC"/>
    <w:rsid w:val="000A3BEB"/>
    <w:rsid w:val="000B6F40"/>
    <w:rsid w:val="000C3E20"/>
    <w:rsid w:val="000C65A6"/>
    <w:rsid w:val="000D2721"/>
    <w:rsid w:val="000D63F7"/>
    <w:rsid w:val="000F5D6E"/>
    <w:rsid w:val="000F7C99"/>
    <w:rsid w:val="00135D68"/>
    <w:rsid w:val="00143541"/>
    <w:rsid w:val="00147933"/>
    <w:rsid w:val="0015294E"/>
    <w:rsid w:val="00157231"/>
    <w:rsid w:val="0016637A"/>
    <w:rsid w:val="00171A93"/>
    <w:rsid w:val="001A194E"/>
    <w:rsid w:val="001D0B30"/>
    <w:rsid w:val="001D4B5D"/>
    <w:rsid w:val="001D7B68"/>
    <w:rsid w:val="001E3E42"/>
    <w:rsid w:val="001E7D11"/>
    <w:rsid w:val="001F195A"/>
    <w:rsid w:val="001F5F1F"/>
    <w:rsid w:val="001F775E"/>
    <w:rsid w:val="00201DFA"/>
    <w:rsid w:val="002369F4"/>
    <w:rsid w:val="002418F0"/>
    <w:rsid w:val="00241ACC"/>
    <w:rsid w:val="0024462F"/>
    <w:rsid w:val="002504DC"/>
    <w:rsid w:val="00254CE0"/>
    <w:rsid w:val="00257A87"/>
    <w:rsid w:val="00262EBF"/>
    <w:rsid w:val="0026758A"/>
    <w:rsid w:val="00275EC7"/>
    <w:rsid w:val="0028755B"/>
    <w:rsid w:val="00290426"/>
    <w:rsid w:val="002B03C9"/>
    <w:rsid w:val="002B5277"/>
    <w:rsid w:val="002D13C7"/>
    <w:rsid w:val="002D60B4"/>
    <w:rsid w:val="002F4897"/>
    <w:rsid w:val="002F50C4"/>
    <w:rsid w:val="00303829"/>
    <w:rsid w:val="003047FB"/>
    <w:rsid w:val="003313EC"/>
    <w:rsid w:val="00331FAB"/>
    <w:rsid w:val="00335878"/>
    <w:rsid w:val="00337D31"/>
    <w:rsid w:val="00345807"/>
    <w:rsid w:val="003502C9"/>
    <w:rsid w:val="00351DC5"/>
    <w:rsid w:val="0036390F"/>
    <w:rsid w:val="00363F83"/>
    <w:rsid w:val="00372F78"/>
    <w:rsid w:val="00382B57"/>
    <w:rsid w:val="00387916"/>
    <w:rsid w:val="00394D2D"/>
    <w:rsid w:val="00395C28"/>
    <w:rsid w:val="003978B7"/>
    <w:rsid w:val="00397ED6"/>
    <w:rsid w:val="003A2095"/>
    <w:rsid w:val="003A280B"/>
    <w:rsid w:val="003B4405"/>
    <w:rsid w:val="003C2421"/>
    <w:rsid w:val="003C6554"/>
    <w:rsid w:val="003D318D"/>
    <w:rsid w:val="003D389F"/>
    <w:rsid w:val="003E0573"/>
    <w:rsid w:val="003E3302"/>
    <w:rsid w:val="003F5402"/>
    <w:rsid w:val="003F69E3"/>
    <w:rsid w:val="00407F26"/>
    <w:rsid w:val="00411B8D"/>
    <w:rsid w:val="0042035F"/>
    <w:rsid w:val="00421117"/>
    <w:rsid w:val="00432C08"/>
    <w:rsid w:val="00460666"/>
    <w:rsid w:val="00465085"/>
    <w:rsid w:val="00470A19"/>
    <w:rsid w:val="00497331"/>
    <w:rsid w:val="004A1DFF"/>
    <w:rsid w:val="004A2BA0"/>
    <w:rsid w:val="004B2B36"/>
    <w:rsid w:val="004B30CE"/>
    <w:rsid w:val="004D01BB"/>
    <w:rsid w:val="00500D43"/>
    <w:rsid w:val="00506D53"/>
    <w:rsid w:val="0052287A"/>
    <w:rsid w:val="00523880"/>
    <w:rsid w:val="0053110C"/>
    <w:rsid w:val="005415D1"/>
    <w:rsid w:val="0054291C"/>
    <w:rsid w:val="00542F6C"/>
    <w:rsid w:val="00545F9C"/>
    <w:rsid w:val="00557F05"/>
    <w:rsid w:val="00565962"/>
    <w:rsid w:val="005809E0"/>
    <w:rsid w:val="005809EE"/>
    <w:rsid w:val="00581AFC"/>
    <w:rsid w:val="00584129"/>
    <w:rsid w:val="00586C09"/>
    <w:rsid w:val="0059029E"/>
    <w:rsid w:val="005A5E23"/>
    <w:rsid w:val="005C2EFA"/>
    <w:rsid w:val="005D1C58"/>
    <w:rsid w:val="005D5675"/>
    <w:rsid w:val="005E1CEA"/>
    <w:rsid w:val="005F73FF"/>
    <w:rsid w:val="006003E4"/>
    <w:rsid w:val="00617CE0"/>
    <w:rsid w:val="00617E1A"/>
    <w:rsid w:val="00633DD1"/>
    <w:rsid w:val="00637BB3"/>
    <w:rsid w:val="00640C56"/>
    <w:rsid w:val="00644CC8"/>
    <w:rsid w:val="0064589D"/>
    <w:rsid w:val="006467F9"/>
    <w:rsid w:val="00650B59"/>
    <w:rsid w:val="006531E2"/>
    <w:rsid w:val="00656279"/>
    <w:rsid w:val="00661AA4"/>
    <w:rsid w:val="0067169B"/>
    <w:rsid w:val="00673FDA"/>
    <w:rsid w:val="00693887"/>
    <w:rsid w:val="00694546"/>
    <w:rsid w:val="006B0FA4"/>
    <w:rsid w:val="006C2B77"/>
    <w:rsid w:val="006C34DD"/>
    <w:rsid w:val="006C7D3C"/>
    <w:rsid w:val="006E0DF7"/>
    <w:rsid w:val="006F40D2"/>
    <w:rsid w:val="006F4FF1"/>
    <w:rsid w:val="00707F1C"/>
    <w:rsid w:val="00711B6D"/>
    <w:rsid w:val="00711E39"/>
    <w:rsid w:val="007175F3"/>
    <w:rsid w:val="00723B42"/>
    <w:rsid w:val="007244BA"/>
    <w:rsid w:val="007311B1"/>
    <w:rsid w:val="00732DEF"/>
    <w:rsid w:val="0073395B"/>
    <w:rsid w:val="00736F1D"/>
    <w:rsid w:val="00742FFA"/>
    <w:rsid w:val="0074472B"/>
    <w:rsid w:val="00757A6D"/>
    <w:rsid w:val="00764149"/>
    <w:rsid w:val="00771994"/>
    <w:rsid w:val="0077669F"/>
    <w:rsid w:val="00780EE7"/>
    <w:rsid w:val="00783DDF"/>
    <w:rsid w:val="00785157"/>
    <w:rsid w:val="0079551F"/>
    <w:rsid w:val="007A3376"/>
    <w:rsid w:val="007A57D5"/>
    <w:rsid w:val="007B11D4"/>
    <w:rsid w:val="007B50DC"/>
    <w:rsid w:val="007C0968"/>
    <w:rsid w:val="007E67A0"/>
    <w:rsid w:val="007F192F"/>
    <w:rsid w:val="007F224C"/>
    <w:rsid w:val="00805B82"/>
    <w:rsid w:val="0082308B"/>
    <w:rsid w:val="00831DD5"/>
    <w:rsid w:val="0084739E"/>
    <w:rsid w:val="00857D8B"/>
    <w:rsid w:val="00860DC2"/>
    <w:rsid w:val="00870569"/>
    <w:rsid w:val="00875FD5"/>
    <w:rsid w:val="00880916"/>
    <w:rsid w:val="0088539D"/>
    <w:rsid w:val="00894CCD"/>
    <w:rsid w:val="008A169A"/>
    <w:rsid w:val="008A3252"/>
    <w:rsid w:val="008B026A"/>
    <w:rsid w:val="008B0DE8"/>
    <w:rsid w:val="008B3429"/>
    <w:rsid w:val="008B6AEA"/>
    <w:rsid w:val="008C11D7"/>
    <w:rsid w:val="008C4D91"/>
    <w:rsid w:val="008D5BAF"/>
    <w:rsid w:val="008D5EC2"/>
    <w:rsid w:val="008F48F3"/>
    <w:rsid w:val="009012B4"/>
    <w:rsid w:val="00901B77"/>
    <w:rsid w:val="009143B3"/>
    <w:rsid w:val="00922BD2"/>
    <w:rsid w:val="00934A52"/>
    <w:rsid w:val="00947C5B"/>
    <w:rsid w:val="00960472"/>
    <w:rsid w:val="00960F4B"/>
    <w:rsid w:val="00962306"/>
    <w:rsid w:val="009648D7"/>
    <w:rsid w:val="00965C7D"/>
    <w:rsid w:val="00973677"/>
    <w:rsid w:val="00976E0E"/>
    <w:rsid w:val="00983024"/>
    <w:rsid w:val="0098359A"/>
    <w:rsid w:val="009953BD"/>
    <w:rsid w:val="00997B27"/>
    <w:rsid w:val="009A0084"/>
    <w:rsid w:val="009A315A"/>
    <w:rsid w:val="009A5302"/>
    <w:rsid w:val="009A5B55"/>
    <w:rsid w:val="009B058F"/>
    <w:rsid w:val="009B151E"/>
    <w:rsid w:val="009C5D38"/>
    <w:rsid w:val="009D4FB6"/>
    <w:rsid w:val="009D63D1"/>
    <w:rsid w:val="009D71E0"/>
    <w:rsid w:val="009E4E79"/>
    <w:rsid w:val="009E76C6"/>
    <w:rsid w:val="009F1A1D"/>
    <w:rsid w:val="009F7238"/>
    <w:rsid w:val="00A0041A"/>
    <w:rsid w:val="00A0228C"/>
    <w:rsid w:val="00A12E56"/>
    <w:rsid w:val="00A231D4"/>
    <w:rsid w:val="00A24804"/>
    <w:rsid w:val="00A256F4"/>
    <w:rsid w:val="00A3092F"/>
    <w:rsid w:val="00A3141A"/>
    <w:rsid w:val="00A34BD6"/>
    <w:rsid w:val="00A416C4"/>
    <w:rsid w:val="00A50962"/>
    <w:rsid w:val="00A56D87"/>
    <w:rsid w:val="00A7002A"/>
    <w:rsid w:val="00A72780"/>
    <w:rsid w:val="00A72C30"/>
    <w:rsid w:val="00A72E95"/>
    <w:rsid w:val="00A84A6F"/>
    <w:rsid w:val="00A938E9"/>
    <w:rsid w:val="00A949A9"/>
    <w:rsid w:val="00A960B3"/>
    <w:rsid w:val="00AA79FF"/>
    <w:rsid w:val="00AB01D4"/>
    <w:rsid w:val="00AB7BC9"/>
    <w:rsid w:val="00AC2CED"/>
    <w:rsid w:val="00AC7A1D"/>
    <w:rsid w:val="00AF0252"/>
    <w:rsid w:val="00AF0D22"/>
    <w:rsid w:val="00AF4B81"/>
    <w:rsid w:val="00B018AB"/>
    <w:rsid w:val="00B0495B"/>
    <w:rsid w:val="00B07564"/>
    <w:rsid w:val="00B1007F"/>
    <w:rsid w:val="00B13505"/>
    <w:rsid w:val="00B17E79"/>
    <w:rsid w:val="00B21921"/>
    <w:rsid w:val="00B306DE"/>
    <w:rsid w:val="00B32426"/>
    <w:rsid w:val="00B33DCF"/>
    <w:rsid w:val="00B34347"/>
    <w:rsid w:val="00B442BD"/>
    <w:rsid w:val="00B54107"/>
    <w:rsid w:val="00B54A79"/>
    <w:rsid w:val="00B57C88"/>
    <w:rsid w:val="00B6351B"/>
    <w:rsid w:val="00B6783F"/>
    <w:rsid w:val="00B77D98"/>
    <w:rsid w:val="00B81B07"/>
    <w:rsid w:val="00B8683D"/>
    <w:rsid w:val="00B97F7A"/>
    <w:rsid w:val="00BA4264"/>
    <w:rsid w:val="00BC144B"/>
    <w:rsid w:val="00BD768C"/>
    <w:rsid w:val="00BF2667"/>
    <w:rsid w:val="00C00C74"/>
    <w:rsid w:val="00C026D0"/>
    <w:rsid w:val="00C1384C"/>
    <w:rsid w:val="00C16EFE"/>
    <w:rsid w:val="00C201D9"/>
    <w:rsid w:val="00C21BDD"/>
    <w:rsid w:val="00C27438"/>
    <w:rsid w:val="00C3549E"/>
    <w:rsid w:val="00C40696"/>
    <w:rsid w:val="00C43D63"/>
    <w:rsid w:val="00C52E92"/>
    <w:rsid w:val="00C60E1A"/>
    <w:rsid w:val="00C6358F"/>
    <w:rsid w:val="00C72532"/>
    <w:rsid w:val="00C76934"/>
    <w:rsid w:val="00C83E45"/>
    <w:rsid w:val="00C85A82"/>
    <w:rsid w:val="00CA0A56"/>
    <w:rsid w:val="00CA7D1E"/>
    <w:rsid w:val="00CC635E"/>
    <w:rsid w:val="00CD6769"/>
    <w:rsid w:val="00CF0700"/>
    <w:rsid w:val="00CF2DC4"/>
    <w:rsid w:val="00D13770"/>
    <w:rsid w:val="00D14BDD"/>
    <w:rsid w:val="00D301AE"/>
    <w:rsid w:val="00D31509"/>
    <w:rsid w:val="00D40A55"/>
    <w:rsid w:val="00D41260"/>
    <w:rsid w:val="00D44BB5"/>
    <w:rsid w:val="00D45797"/>
    <w:rsid w:val="00D54905"/>
    <w:rsid w:val="00D5590F"/>
    <w:rsid w:val="00D63DCB"/>
    <w:rsid w:val="00D659B7"/>
    <w:rsid w:val="00D75B8F"/>
    <w:rsid w:val="00D837C6"/>
    <w:rsid w:val="00D953C1"/>
    <w:rsid w:val="00DA191A"/>
    <w:rsid w:val="00DB6A05"/>
    <w:rsid w:val="00DB72EA"/>
    <w:rsid w:val="00DC7602"/>
    <w:rsid w:val="00E004D5"/>
    <w:rsid w:val="00E04D91"/>
    <w:rsid w:val="00E075F9"/>
    <w:rsid w:val="00E116DE"/>
    <w:rsid w:val="00E11BEE"/>
    <w:rsid w:val="00E20B80"/>
    <w:rsid w:val="00E3777E"/>
    <w:rsid w:val="00E37DA9"/>
    <w:rsid w:val="00E43F67"/>
    <w:rsid w:val="00E5250A"/>
    <w:rsid w:val="00E62A10"/>
    <w:rsid w:val="00E76F9B"/>
    <w:rsid w:val="00E8205A"/>
    <w:rsid w:val="00EA7E1F"/>
    <w:rsid w:val="00EB39AA"/>
    <w:rsid w:val="00EB6F1F"/>
    <w:rsid w:val="00EB74CA"/>
    <w:rsid w:val="00EC7D95"/>
    <w:rsid w:val="00ED3521"/>
    <w:rsid w:val="00ED68BE"/>
    <w:rsid w:val="00EE091F"/>
    <w:rsid w:val="00EE6B46"/>
    <w:rsid w:val="00EE717A"/>
    <w:rsid w:val="00F001FC"/>
    <w:rsid w:val="00F03AD3"/>
    <w:rsid w:val="00F1109D"/>
    <w:rsid w:val="00F127C5"/>
    <w:rsid w:val="00F1310E"/>
    <w:rsid w:val="00F1393A"/>
    <w:rsid w:val="00F229A4"/>
    <w:rsid w:val="00F22BD2"/>
    <w:rsid w:val="00F24AA0"/>
    <w:rsid w:val="00F24C7F"/>
    <w:rsid w:val="00F27FA3"/>
    <w:rsid w:val="00F30744"/>
    <w:rsid w:val="00F30BA0"/>
    <w:rsid w:val="00F31714"/>
    <w:rsid w:val="00F347FA"/>
    <w:rsid w:val="00F35D96"/>
    <w:rsid w:val="00F41A8F"/>
    <w:rsid w:val="00F44F76"/>
    <w:rsid w:val="00F44FBC"/>
    <w:rsid w:val="00F461E7"/>
    <w:rsid w:val="00F57567"/>
    <w:rsid w:val="00F87677"/>
    <w:rsid w:val="00F9588A"/>
    <w:rsid w:val="00F97D69"/>
    <w:rsid w:val="00FC5763"/>
    <w:rsid w:val="00FD325B"/>
    <w:rsid w:val="00FD5909"/>
    <w:rsid w:val="00FE3AC6"/>
    <w:rsid w:val="00FF6AA9"/>
    <w:rsid w:val="01AF1A4F"/>
    <w:rsid w:val="0248A5D2"/>
    <w:rsid w:val="112A8EBA"/>
    <w:rsid w:val="1A22C234"/>
    <w:rsid w:val="20E69E71"/>
    <w:rsid w:val="4631EC57"/>
    <w:rsid w:val="4929FAC5"/>
    <w:rsid w:val="4AB19486"/>
    <w:rsid w:val="4C5D9275"/>
    <w:rsid w:val="513C377C"/>
    <w:rsid w:val="56D37E5A"/>
    <w:rsid w:val="5A557CFD"/>
    <w:rsid w:val="7DE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FEDDF"/>
  <w15:docId w15:val="{B5BB9EBB-7353-4FD2-8A5A-033225D1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13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D98"/>
    <w:pPr>
      <w:keepNext/>
      <w:keepLines/>
      <w:spacing w:before="240" w:after="0"/>
      <w:outlineLvl w:val="0"/>
    </w:pPr>
    <w:rPr>
      <w:rFonts w:eastAsia="Times New Roman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D98"/>
    <w:pPr>
      <w:keepNext/>
      <w:keepLines/>
      <w:spacing w:before="40" w:after="0"/>
      <w:outlineLvl w:val="1"/>
    </w:pPr>
    <w:rPr>
      <w:rFonts w:eastAsia="Times New Roman"/>
      <w:b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81"/>
  </w:style>
  <w:style w:type="paragraph" w:styleId="Stopka">
    <w:name w:val="footer"/>
    <w:basedOn w:val="Normalny"/>
    <w:link w:val="StopkaZnak"/>
    <w:uiPriority w:val="99"/>
    <w:unhideWhenUsed/>
    <w:rsid w:val="00AF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81"/>
  </w:style>
  <w:style w:type="paragraph" w:styleId="Tekstdymka">
    <w:name w:val="Balloon Text"/>
    <w:basedOn w:val="Normalny"/>
    <w:link w:val="TekstdymkaZnak"/>
    <w:uiPriority w:val="99"/>
    <w:semiHidden/>
    <w:unhideWhenUsed/>
    <w:rsid w:val="00AF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8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9F1A1D"/>
  </w:style>
  <w:style w:type="character" w:styleId="Pogrubienie">
    <w:name w:val="Strong"/>
    <w:basedOn w:val="Domylnaczcionkaakapitu"/>
    <w:uiPriority w:val="22"/>
    <w:qFormat/>
    <w:rsid w:val="00CF07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070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6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kapitzlist1">
    <w:name w:val="Akapit z listą1"/>
    <w:basedOn w:val="Normalny"/>
    <w:rsid w:val="00656279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DC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90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F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FB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qFormat/>
    <w:rsid w:val="009D4FB6"/>
    <w:rPr>
      <w:vertAlign w:val="superscript"/>
    </w:rPr>
  </w:style>
  <w:style w:type="table" w:styleId="Tabela-Siatka">
    <w:name w:val="Table Grid"/>
    <w:basedOn w:val="Standardowy"/>
    <w:uiPriority w:val="59"/>
    <w:rsid w:val="0024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C57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11">
    <w:name w:val="Nagłówek 11"/>
    <w:basedOn w:val="Normalny"/>
    <w:next w:val="Normalny"/>
    <w:uiPriority w:val="9"/>
    <w:qFormat/>
    <w:rsid w:val="00B77D98"/>
    <w:pPr>
      <w:keepNext/>
      <w:keepLines/>
      <w:spacing w:before="240" w:after="240" w:line="240" w:lineRule="auto"/>
      <w:outlineLvl w:val="0"/>
    </w:pPr>
    <w:rPr>
      <w:rFonts w:eastAsia="Times New Roman"/>
      <w:b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77D98"/>
    <w:pPr>
      <w:keepNext/>
      <w:keepLines/>
      <w:spacing w:before="240" w:after="240" w:line="240" w:lineRule="auto"/>
      <w:outlineLvl w:val="1"/>
    </w:pPr>
    <w:rPr>
      <w:rFonts w:eastAsia="Times New Roman"/>
      <w:b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B77D98"/>
  </w:style>
  <w:style w:type="character" w:customStyle="1" w:styleId="Nagwek1Znak">
    <w:name w:val="Nagłówek 1 Znak"/>
    <w:basedOn w:val="Domylnaczcionkaakapitu"/>
    <w:link w:val="Nagwek1"/>
    <w:uiPriority w:val="9"/>
    <w:rsid w:val="00B77D98"/>
    <w:rPr>
      <w:rFonts w:ascii="Calibri" w:eastAsia="Times New Roman" w:hAnsi="Calibri" w:cs="Times New Roman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7D98"/>
    <w:rPr>
      <w:rFonts w:ascii="Calibri" w:eastAsia="Times New Roman" w:hAnsi="Calibri" w:cs="Times New Roman"/>
      <w:b/>
      <w:sz w:val="26"/>
      <w:szCs w:val="26"/>
    </w:rPr>
  </w:style>
  <w:style w:type="paragraph" w:customStyle="1" w:styleId="M1">
    <w:name w:val="M1"/>
    <w:basedOn w:val="Nagwek1"/>
    <w:link w:val="M1Znak"/>
    <w:qFormat/>
    <w:rsid w:val="00B77D98"/>
  </w:style>
  <w:style w:type="character" w:customStyle="1" w:styleId="M1Znak">
    <w:name w:val="M1 Znak"/>
    <w:basedOn w:val="Nagwek1Znak"/>
    <w:link w:val="M1"/>
    <w:rsid w:val="00B77D98"/>
    <w:rPr>
      <w:rFonts w:ascii="Calibri" w:eastAsia="Times New Roman" w:hAnsi="Calibri" w:cs="Times New Roman"/>
      <w:b/>
      <w:sz w:val="32"/>
      <w:szCs w:val="32"/>
    </w:rPr>
  </w:style>
  <w:style w:type="paragraph" w:customStyle="1" w:styleId="PUNKTOR">
    <w:name w:val="PUNKTOR"/>
    <w:basedOn w:val="Normalny"/>
    <w:link w:val="PUNKTORZnak"/>
    <w:autoRedefine/>
    <w:qFormat/>
    <w:rsid w:val="00B77D98"/>
    <w:pPr>
      <w:numPr>
        <w:ilvl w:val="1"/>
        <w:numId w:val="1"/>
      </w:numPr>
      <w:tabs>
        <w:tab w:val="left" w:pos="576"/>
      </w:tabs>
      <w:suppressAutoHyphens/>
      <w:spacing w:after="240" w:line="360" w:lineRule="auto"/>
      <w:ind w:left="576" w:hanging="576"/>
      <w:jc w:val="both"/>
    </w:pPr>
    <w:rPr>
      <w:rFonts w:ascii="Arial" w:hAnsi="Arial"/>
      <w:sz w:val="24"/>
      <w:szCs w:val="24"/>
      <w:lang w:eastAsia="ar-SA"/>
    </w:rPr>
  </w:style>
  <w:style w:type="character" w:customStyle="1" w:styleId="PUNKTORZnak">
    <w:name w:val="PUNKTOR Znak"/>
    <w:link w:val="PUNKTOR"/>
    <w:rsid w:val="00B77D98"/>
    <w:rPr>
      <w:rFonts w:ascii="Arial" w:hAnsi="Arial"/>
      <w:sz w:val="24"/>
      <w:szCs w:val="24"/>
      <w:lang w:eastAsia="ar-SA"/>
    </w:rPr>
  </w:style>
  <w:style w:type="paragraph" w:customStyle="1" w:styleId="Default">
    <w:name w:val="Default"/>
    <w:rsid w:val="00B77D9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Standard">
    <w:name w:val="Standard"/>
    <w:rsid w:val="00B77D9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D9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D9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77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B77D98"/>
    <w:pPr>
      <w:suppressAutoHyphens/>
      <w:spacing w:line="240" w:lineRule="auto"/>
      <w:jc w:val="both"/>
    </w:pPr>
    <w:rPr>
      <w:rFonts w:ascii="Times New Roman" w:eastAsia="Times New Roman" w:hAnsi="Times New Roman"/>
      <w:i/>
      <w:iCs/>
      <w:color w:val="44546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D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D98"/>
    <w:rPr>
      <w:rFonts w:ascii="Times New Roman" w:eastAsia="Times New Roman" w:hAnsi="Times New Roman"/>
      <w:b/>
      <w:bCs/>
    </w:rPr>
  </w:style>
  <w:style w:type="paragraph" w:customStyle="1" w:styleId="StylInterlinia15wiersza">
    <w:name w:val="Styl Interlinia:  15 wiersza"/>
    <w:basedOn w:val="Normalny"/>
    <w:qFormat/>
    <w:rsid w:val="00B77D98"/>
    <w:pPr>
      <w:widowControl w:val="0"/>
      <w:suppressAutoHyphens/>
      <w:autoSpaceDN w:val="0"/>
      <w:spacing w:after="120" w:line="360" w:lineRule="auto"/>
      <w:ind w:firstLine="454"/>
      <w:jc w:val="both"/>
    </w:pPr>
    <w:rPr>
      <w:rFonts w:ascii="Times New Roman" w:eastAsia="SimSun" w:hAnsi="Times New Roman" w:cs="Mangal"/>
      <w:kern w:val="3"/>
      <w:sz w:val="24"/>
      <w:szCs w:val="20"/>
      <w:lang w:eastAsia="zh-CN" w:bidi="hi-IN"/>
    </w:rPr>
  </w:style>
  <w:style w:type="character" w:customStyle="1" w:styleId="Nagwek1Znak1">
    <w:name w:val="Nagłówek 1 Znak1"/>
    <w:basedOn w:val="Domylnaczcionkaakapitu"/>
    <w:uiPriority w:val="9"/>
    <w:rsid w:val="00B77D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77D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6467F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67F9"/>
    <w:rPr>
      <w:rFonts w:ascii="Times New Roman" w:eastAsia="Lucida Sans Unicode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5D5675"/>
  </w:style>
  <w:style w:type="paragraph" w:styleId="Bezodstpw">
    <w:name w:val="No Spacing"/>
    <w:uiPriority w:val="1"/>
    <w:qFormat/>
    <w:rsid w:val="005D56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sid w:val="005D5675"/>
    <w:rPr>
      <w:color w:val="2B579A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qFormat/>
    <w:rsid w:val="009143B3"/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9143B3"/>
    <w:pPr>
      <w:spacing w:after="0" w:line="240" w:lineRule="auto"/>
      <w:contextualSpacing/>
      <w:jc w:val="both"/>
    </w:pPr>
    <w:rPr>
      <w:rFonts w:ascii="Calibri Light" w:eastAsia="Times New Roman" w:hAnsi="Calibri Light"/>
      <w:spacing w:val="-10"/>
      <w:kern w:val="2"/>
      <w:sz w:val="56"/>
      <w:szCs w:val="56"/>
      <w:lang w:eastAsia="pl-PL"/>
    </w:rPr>
  </w:style>
  <w:style w:type="character" w:customStyle="1" w:styleId="TytuZnak1">
    <w:name w:val="Tytuł Znak1"/>
    <w:basedOn w:val="Domylnaczcionkaakapitu"/>
    <w:uiPriority w:val="10"/>
    <w:rsid w:val="009143B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nyWeb">
    <w:name w:val="Normal (Web)"/>
    <w:basedOn w:val="Normalny"/>
    <w:uiPriority w:val="99"/>
    <w:unhideWhenUsed/>
    <w:rsid w:val="006C2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18" ma:contentTypeDescription="Create a new document." ma:contentTypeScope="" ma:versionID="30aa6b32f558e6bc97286a2e677d0b68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8744480241b825119289537ca8f7c839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88ac8a-37b9-4014-987a-619bf3338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9a94ba-b649-4b5b-a492-6741ba574958}" ma:internalName="TaxCatchAll" ma:showField="CatchAllData" ma:web="4c0dc43a-794a-4898-bf0c-a16430846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dc43a-794a-4898-bf0c-a164308460a1" xsi:nil="true"/>
    <lcf76f155ced4ddcb4097134ff3c332f xmlns="4ee08db6-e46f-4e4e-8eab-46a2f2ed11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99BD-FD33-4A32-A77D-2C05381E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E1811-4E08-4883-9354-157E39C70738}">
  <ds:schemaRefs>
    <ds:schemaRef ds:uri="http://schemas.microsoft.com/office/2006/metadata/properties"/>
    <ds:schemaRef ds:uri="http://schemas.microsoft.com/office/infopath/2007/PartnerControls"/>
    <ds:schemaRef ds:uri="4c0dc43a-794a-4898-bf0c-a164308460a1"/>
    <ds:schemaRef ds:uri="4ee08db6-e46f-4e4e-8eab-46a2f2ed1144"/>
  </ds:schemaRefs>
</ds:datastoreItem>
</file>

<file path=customXml/itemProps3.xml><?xml version="1.0" encoding="utf-8"?>
<ds:datastoreItem xmlns:ds="http://schemas.openxmlformats.org/officeDocument/2006/customXml" ds:itemID="{EA9D6AA2-020D-41E2-8117-5E5298BEE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21FAE-D965-4B67-B816-C6D33285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Ewa Filipińska</cp:lastModifiedBy>
  <cp:revision>5</cp:revision>
  <cp:lastPrinted>2025-12-30T14:08:00Z</cp:lastPrinted>
  <dcterms:created xsi:type="dcterms:W3CDTF">2026-01-05T14:25:00Z</dcterms:created>
  <dcterms:modified xsi:type="dcterms:W3CDTF">2026-01-05T14:33:00Z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0x0101000200DB6BC0E0A145B64BFC1CC1D31AFF</vt:lpwstr>
  </property>
  <property fmtid="{D5CDD505-2E9C-101B-9397-08002B2CF9AE}" pid="3" name="Order">
    <vt:r8>3750700</vt:r8>
  </property>
  <property fmtid="{D5CDD505-2E9C-101B-9397-08002B2CF9AE}" pid="4" name="MediaServiceImageTags">
    <vt:lpwstr/>
  </property>
</Properties>
</file>